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inspeção e a troca, se necessário, e em caráter emergencial, da tampa da comporta da Dique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para evitar transtornos futuros com o risco de vazão da água, tendo em vista aproximação do período de cheia no Rio Mandú e os danos causados anteriormente.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Novembro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Novembro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