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inspeção e a troca, se necessário, e em caráter emergencial, das Bombas na Dique  I - Lagoa da Banana.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para evitar transtornos futuros com o risco de vazão da água, tendo em vista aproximação do período de cheia no Rio Mandu.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