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BC" w:rsidRDefault="00F7243D">
      <w:pPr>
        <w:spacing w:after="115" w:line="360" w:lineRule="auto"/>
        <w:ind w:left="159" w:hanging="1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Excelentíssimo Senhor Presidente da Câmara Municipal de Pouso Alegre – MG.</w:t>
      </w:r>
    </w:p>
    <w:p w:rsidR="002540BC" w:rsidRDefault="00F7243D">
      <w:pPr>
        <w:spacing w:after="112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2540BC" w:rsidRDefault="00F7243D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2540BC" w:rsidRDefault="00205378">
      <w:pPr>
        <w:spacing w:after="112" w:line="360" w:lineRule="auto"/>
        <w:ind w:right="6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Pouso Alegre, 02</w:t>
      </w:r>
      <w:r w:rsidR="00F7243D">
        <w:rPr>
          <w:rFonts w:ascii="Times New Roman" w:eastAsia="Times New Roman" w:hAnsi="Times New Roman" w:cs="Times New Roman"/>
          <w:b/>
          <w:color w:val="auto"/>
        </w:rPr>
        <w:t xml:space="preserve"> de julho de 2025. </w:t>
      </w:r>
    </w:p>
    <w:p w:rsidR="002540BC" w:rsidRDefault="00F7243D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2540BC" w:rsidRDefault="00F7243D">
      <w:pPr>
        <w:spacing w:after="112" w:line="360" w:lineRule="auto"/>
        <w:ind w:left="5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2540BC" w:rsidRDefault="00F7243D">
      <w:pPr>
        <w:spacing w:after="110" w:line="360" w:lineRule="auto"/>
        <w:ind w:right="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JURÍDICO</w:t>
      </w:r>
    </w:p>
    <w:p w:rsidR="002540BC" w:rsidRDefault="00F7243D">
      <w:pPr>
        <w:spacing w:after="321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540BC" w:rsidRDefault="00F7243D">
      <w:pPr>
        <w:pStyle w:val="Ttulo1"/>
        <w:spacing w:line="360" w:lineRule="auto"/>
        <w:ind w:left="-5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Autoria – Poder Legislativo </w:t>
      </w:r>
    </w:p>
    <w:p w:rsidR="002540BC" w:rsidRDefault="00F7243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 xml:space="preserve">Nos termos do artigo 79 do Regimento Interno desta Casa de Leis, passamos a analisar os aspectos legais do </w:t>
      </w:r>
      <w:r>
        <w:rPr>
          <w:rFonts w:ascii="Times New Roman" w:eastAsia="Times New Roman" w:hAnsi="Times New Roman" w:cs="Times New Roman"/>
          <w:b/>
          <w:color w:val="auto"/>
        </w:rPr>
        <w:t>Projeto de Lei n° 8.122/2025</w:t>
      </w:r>
      <w:r>
        <w:rPr>
          <w:rFonts w:ascii="Times New Roman" w:eastAsia="Times New Roman" w:hAnsi="Times New Roman" w:cs="Times New Roman"/>
          <w:color w:val="auto"/>
        </w:rPr>
        <w:t xml:space="preserve">, de </w:t>
      </w:r>
      <w:r>
        <w:rPr>
          <w:rFonts w:ascii="Times New Roman" w:eastAsia="Times New Roman" w:hAnsi="Times New Roman" w:cs="Times New Roman"/>
          <w:b/>
          <w:color w:val="auto"/>
        </w:rPr>
        <w:t xml:space="preserve">autoria do Vereador Fred Coutinho </w:t>
      </w:r>
      <w:r>
        <w:rPr>
          <w:rFonts w:ascii="Times New Roman" w:eastAsia="Times New Roman" w:hAnsi="Times New Roman" w:cs="Times New Roman"/>
          <w:color w:val="auto"/>
        </w:rPr>
        <w:t xml:space="preserve">que </w:t>
      </w:r>
      <w:r>
        <w:rPr>
          <w:rFonts w:ascii="Times New Roman" w:hAnsi="Times New Roman" w:cs="Times New Roman"/>
          <w:b/>
        </w:rPr>
        <w:t>ALTERA A LEI MUNICIPAL Nº 7.001, DE 18 DE OUTUBRO DE 2024, PARA INCLUIR NO CAL</w:t>
      </w:r>
      <w:r>
        <w:rPr>
          <w:rFonts w:ascii="Times New Roman" w:hAnsi="Times New Roman" w:cs="Times New Roman"/>
          <w:b/>
        </w:rPr>
        <w:t>ENDÁRIO OFICIAL DE DATAS COMEMORATIVAS DO MUNICÍPIO DE POUSO ALEGRE O “DIA MUNICIPAL DOS LEGENDÁRIOS”</w:t>
      </w:r>
      <w:r>
        <w:rPr>
          <w:rFonts w:ascii="Times New Roman" w:hAnsi="Times New Roman" w:cs="Times New Roman"/>
        </w:rPr>
        <w:t>.</w:t>
      </w:r>
    </w:p>
    <w:p w:rsidR="002540BC" w:rsidRDefault="002540BC">
      <w:pPr>
        <w:spacing w:line="36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540BC" w:rsidRDefault="00F7243D">
      <w:pPr>
        <w:spacing w:before="240" w:line="360" w:lineRule="auto"/>
        <w:ind w:left="-5" w:hanging="1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>O Projeto de Lei em análise assim dispõe:</w:t>
      </w:r>
    </w:p>
    <w:p w:rsidR="002540BC" w:rsidRDefault="00F7243D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b/>
          <w:bCs/>
          <w:color w:val="auto"/>
        </w:rPr>
        <w:t>Art. 1º</w:t>
      </w:r>
      <w:r>
        <w:rPr>
          <w:rFonts w:ascii="Times New Roman" w:eastAsiaTheme="minorHAnsi" w:hAnsi="Times New Roman" w:cs="Times New Roman"/>
          <w:color w:val="auto"/>
        </w:rPr>
        <w:t xml:space="preserve"> Fica inserido o inciso VII ao art. 12 da Lei Ordinária n° 7.001, de 18 de outubro de 2024, com a seguinte redação:</w:t>
      </w:r>
    </w:p>
    <w:p w:rsidR="002540BC" w:rsidRDefault="00F7243D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color w:val="auto"/>
        </w:rPr>
        <w:t>“Art. 12. (...)</w:t>
      </w:r>
    </w:p>
    <w:p w:rsidR="002540BC" w:rsidRDefault="00F7243D">
      <w:pPr>
        <w:ind w:right="-1"/>
        <w:jc w:val="both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color w:val="auto"/>
        </w:rPr>
        <w:t xml:space="preserve">VII - “Dia Municipal dos Legendários” - dia 14 de julho, com o objetivo de reconhecer e valorizar o impacto positivo do </w:t>
      </w:r>
      <w:r>
        <w:rPr>
          <w:rFonts w:ascii="Times New Roman" w:eastAsiaTheme="minorHAnsi" w:hAnsi="Times New Roman" w:cs="Times New Roman"/>
          <w:color w:val="auto"/>
        </w:rPr>
        <w:t>movimento dos Legendários na sociedade.”</w:t>
      </w:r>
    </w:p>
    <w:p w:rsidR="002540BC" w:rsidRDefault="002540BC">
      <w:pPr>
        <w:ind w:right="-1"/>
        <w:jc w:val="both"/>
        <w:rPr>
          <w:rFonts w:ascii="Times New Roman" w:hAnsi="Times New Roman" w:cs="Times New Roman"/>
        </w:rPr>
      </w:pPr>
    </w:p>
    <w:p w:rsidR="002540BC" w:rsidRDefault="00F7243D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Esta Lei entra em vigor na data de sua publicação.</w:t>
      </w:r>
    </w:p>
    <w:p w:rsidR="002540BC" w:rsidRDefault="002540BC">
      <w:pPr>
        <w:ind w:right="-1"/>
        <w:jc w:val="both"/>
        <w:rPr>
          <w:rFonts w:ascii="Times New Roman" w:hAnsi="Times New Roman" w:cs="Times New Roman"/>
        </w:rPr>
      </w:pPr>
    </w:p>
    <w:p w:rsidR="002540BC" w:rsidRDefault="00F7243D">
      <w:pPr>
        <w:pStyle w:val="Ttulo1"/>
        <w:spacing w:after="0" w:line="360" w:lineRule="auto"/>
        <w:ind w:left="-5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             FORMA </w:t>
      </w:r>
    </w:p>
    <w:p w:rsidR="002540BC" w:rsidRDefault="002540BC"/>
    <w:p w:rsidR="002540BC" w:rsidRDefault="00F7243D">
      <w:pPr>
        <w:spacing w:after="195" w:line="360" w:lineRule="auto"/>
        <w:ind w:left="-5" w:hanging="1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>A matéria veiculada neste Projeto de Lei se adequada perfeitamente aos princípios de competência legislativa assegurados ao Municíp</w:t>
      </w:r>
      <w:r>
        <w:rPr>
          <w:rFonts w:ascii="Times New Roman" w:eastAsia="Times New Roman" w:hAnsi="Times New Roman" w:cs="Times New Roman"/>
          <w:color w:val="auto"/>
        </w:rPr>
        <w:t xml:space="preserve">io e insculpidos no artigo 30, inciso I e IX da Constituição Federal, tampouco conflita com a competência privativa da União, artigo 22 da Constituição Federal. </w:t>
      </w:r>
    </w:p>
    <w:p w:rsidR="002540BC" w:rsidRDefault="00F7243D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lastRenderedPageBreak/>
        <w:t xml:space="preserve">Art. 30. Compete aos Municípios: </w:t>
      </w:r>
    </w:p>
    <w:p w:rsidR="002540BC" w:rsidRDefault="00F7243D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 xml:space="preserve">I - legislar sobre assuntos de interesse local; (...) </w:t>
      </w:r>
    </w:p>
    <w:p w:rsidR="002540BC" w:rsidRDefault="00F7243D">
      <w:pPr>
        <w:spacing w:after="0" w:line="360" w:lineRule="auto"/>
        <w:ind w:left="226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 xml:space="preserve">IX - </w:t>
      </w:r>
      <w:r>
        <w:rPr>
          <w:rFonts w:ascii="Times New Roman" w:eastAsia="Times New Roman" w:hAnsi="Times New Roman" w:cs="Times New Roman"/>
          <w:i/>
          <w:color w:val="auto"/>
        </w:rPr>
        <w:t xml:space="preserve">promover a proteção do patrimônio histórico-cultural local, observada a legislação e a ação fiscalizadora federal e estadual. </w:t>
      </w:r>
    </w:p>
    <w:p w:rsidR="002540BC" w:rsidRDefault="00F7243D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:rsidR="002540BC" w:rsidRDefault="002540BC">
      <w:pPr>
        <w:spacing w:after="0" w:line="360" w:lineRule="auto"/>
        <w:ind w:left="2269"/>
        <w:jc w:val="both"/>
        <w:rPr>
          <w:rFonts w:ascii="Times New Roman" w:hAnsi="Times New Roman" w:cs="Times New Roman"/>
          <w:color w:val="auto"/>
        </w:rPr>
      </w:pPr>
    </w:p>
    <w:p w:rsidR="002540BC" w:rsidRDefault="00F7243D">
      <w:pPr>
        <w:pStyle w:val="Ttulo1"/>
        <w:spacing w:after="0" w:line="360" w:lineRule="auto"/>
        <w:ind w:left="-5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            INICIATIVA E COMPETÊNCIA</w:t>
      </w:r>
    </w:p>
    <w:p w:rsidR="002540BC" w:rsidRDefault="002540BC"/>
    <w:p w:rsidR="002540BC" w:rsidRDefault="00F7243D">
      <w:pPr>
        <w:tabs>
          <w:tab w:val="right" w:pos="8509"/>
        </w:tabs>
        <w:spacing w:after="121" w:line="360" w:lineRule="auto"/>
        <w:ind w:left="-15" w:firstLine="72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A iniciativa por parte do vereador encontra-se conforme o artigo 39, I, c/c artigo 44 da</w:t>
      </w:r>
      <w:r>
        <w:rPr>
          <w:rFonts w:ascii="Times New Roman" w:eastAsia="Times New Roman" w:hAnsi="Times New Roman" w:cs="Times New Roman"/>
          <w:color w:val="auto"/>
        </w:rPr>
        <w:t xml:space="preserve"> Lei Orgânica do Município, adequada ao artigo 54, I, do Regimento Interno da Câmara Municipal, sendo a matéria em análise de competência municipal e de iniciativa não privativa do Prefeito.   </w:t>
      </w:r>
    </w:p>
    <w:p w:rsidR="002540BC" w:rsidRDefault="00F7243D">
      <w:pPr>
        <w:tabs>
          <w:tab w:val="center" w:pos="2609"/>
        </w:tabs>
        <w:spacing w:after="3" w:line="360" w:lineRule="auto"/>
        <w:ind w:left="-1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ab/>
        <w:t xml:space="preserve">Assim prevê a Lei Orgânica Municipal: </w:t>
      </w:r>
    </w:p>
    <w:p w:rsidR="002540BC" w:rsidRDefault="00F7243D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540BC" w:rsidRDefault="00F7243D">
      <w:pPr>
        <w:spacing w:after="0" w:line="360" w:lineRule="auto"/>
        <w:ind w:left="2268" w:right="5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 xml:space="preserve">Art. 39 – Compete à Câmara, fundamentalmente: </w:t>
      </w:r>
    </w:p>
    <w:p w:rsidR="002540BC" w:rsidRDefault="00F7243D">
      <w:pPr>
        <w:spacing w:after="198" w:line="360" w:lineRule="auto"/>
        <w:ind w:left="2268" w:right="5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 xml:space="preserve">I - legislar, com a sanção do prefeito, sobre todas as matérias de competência do Município; </w:t>
      </w:r>
    </w:p>
    <w:p w:rsidR="002540BC" w:rsidRDefault="00F7243D">
      <w:pPr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/>
          <w:i/>
          <w:color w:val="auto"/>
        </w:rPr>
      </w:pPr>
      <w:r>
        <w:rPr>
          <w:rFonts w:ascii="Times New Roman" w:eastAsiaTheme="minorEastAsia" w:hAnsi="Times New Roman" w:cs="Times New Roman"/>
          <w:b/>
          <w:i/>
          <w:color w:val="auto"/>
        </w:rPr>
        <w:t xml:space="preserve">Art. 44. A iniciativa de lei cabe a qualquer vereador ou Comissão da Câmara, ao Prefeito e aos eleitores, na forma </w:t>
      </w:r>
      <w:r>
        <w:rPr>
          <w:rFonts w:ascii="Times New Roman" w:eastAsiaTheme="minorEastAsia" w:hAnsi="Times New Roman" w:cs="Times New Roman"/>
          <w:b/>
          <w:i/>
          <w:color w:val="auto"/>
        </w:rPr>
        <w:t>e nos casos previstos nesta Lei.</w:t>
      </w:r>
    </w:p>
    <w:p w:rsidR="002540BC" w:rsidRDefault="002540BC">
      <w:pPr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/>
          <w:i/>
          <w:color w:val="auto"/>
        </w:rPr>
      </w:pPr>
    </w:p>
    <w:p w:rsidR="002540BC" w:rsidRDefault="00F7243D">
      <w:pPr>
        <w:spacing w:after="0" w:line="360" w:lineRule="auto"/>
        <w:ind w:left="226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Art. 171.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 w:color="000000"/>
        </w:rPr>
        <w:t>Lei municipal disporá sobre a fixação de datas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 w:color="000000"/>
        </w:rPr>
        <w:t>comemorativas de fatos relevantes para a cultura do Município</w:t>
      </w: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(Grifo nosso) </w:t>
      </w:r>
    </w:p>
    <w:p w:rsidR="002540BC" w:rsidRDefault="00F7243D">
      <w:pPr>
        <w:spacing w:after="0" w:line="360" w:lineRule="auto"/>
        <w:ind w:left="212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Arial" w:hAnsi="Times New Roman" w:cs="Times New Roman"/>
          <w:color w:val="auto"/>
        </w:rPr>
        <w:t xml:space="preserve"> </w:t>
      </w:r>
    </w:p>
    <w:p w:rsidR="002540BC" w:rsidRDefault="00F7243D">
      <w:pPr>
        <w:spacing w:after="201" w:line="360" w:lineRule="auto"/>
        <w:ind w:left="-15" w:firstLine="58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Corroborando acerca das competências municipais, os ensinamentos do mestre </w:t>
      </w:r>
      <w:r>
        <w:rPr>
          <w:rFonts w:ascii="Times New Roman" w:eastAsia="Times New Roman" w:hAnsi="Times New Roman" w:cs="Times New Roman"/>
          <w:b/>
          <w:color w:val="auto"/>
        </w:rPr>
        <w:t>Nelson Ner</w:t>
      </w:r>
      <w:r>
        <w:rPr>
          <w:rFonts w:ascii="Times New Roman" w:eastAsia="Times New Roman" w:hAnsi="Times New Roman" w:cs="Times New Roman"/>
          <w:b/>
          <w:color w:val="auto"/>
        </w:rPr>
        <w:t>y Costa</w:t>
      </w:r>
      <w:r>
        <w:rPr>
          <w:rFonts w:ascii="Times New Roman" w:eastAsia="Times New Roman" w:hAnsi="Times New Roman" w:cs="Times New Roman"/>
          <w:color w:val="auto"/>
        </w:rPr>
        <w:t xml:space="preserve">, </w:t>
      </w:r>
      <w:r>
        <w:rPr>
          <w:rFonts w:ascii="Times New Roman" w:eastAsia="Times New Roman" w:hAnsi="Times New Roman" w:cs="Times New Roman"/>
          <w:i/>
          <w:color w:val="auto"/>
        </w:rPr>
        <w:t>in</w:t>
      </w:r>
      <w:r>
        <w:rPr>
          <w:rFonts w:ascii="Times New Roman" w:eastAsia="Times New Roman" w:hAnsi="Times New Roman" w:cs="Times New Roman"/>
          <w:color w:val="auto"/>
        </w:rPr>
        <w:t xml:space="preserve"> Direito Municipal Brasileiro, 8ª edição, GZ Editora, p. 177: </w:t>
      </w:r>
    </w:p>
    <w:p w:rsidR="002540BC" w:rsidRDefault="00F7243D">
      <w:pPr>
        <w:spacing w:after="199" w:line="360" w:lineRule="auto"/>
        <w:ind w:left="2127" w:right="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“</w:t>
      </w:r>
      <w:r>
        <w:rPr>
          <w:rFonts w:ascii="Times New Roman" w:eastAsia="Times New Roman" w:hAnsi="Times New Roman" w:cs="Times New Roman"/>
          <w:b/>
          <w:i/>
          <w:color w:val="auto"/>
        </w:rPr>
        <w:t>Competem, ainda, à Câmara Municipal diversas outras matérias, naquilo que seja classificado como interesse local</w:t>
      </w:r>
      <w:r>
        <w:rPr>
          <w:rFonts w:ascii="Times New Roman" w:eastAsia="Times New Roman" w:hAnsi="Times New Roman" w:cs="Times New Roman"/>
          <w:i/>
          <w:color w:val="auto"/>
        </w:rPr>
        <w:t>, podendo ser a aprovação de autorização de empréstimos e operações d</w:t>
      </w:r>
      <w:r>
        <w:rPr>
          <w:rFonts w:ascii="Times New Roman" w:eastAsia="Times New Roman" w:hAnsi="Times New Roman" w:cs="Times New Roman"/>
          <w:i/>
          <w:color w:val="auto"/>
        </w:rPr>
        <w:t>e crédito, assim como a forma e os meios de pagamento; delimitar o perímetro urbano; autorizar a concessão de auxílio e subvenções; denominar os próprios, vias e logradouros públicos; estabelecer programas e planos de desenvolvimento. Pode, ainda, elaborar</w:t>
      </w:r>
      <w:r>
        <w:rPr>
          <w:rFonts w:ascii="Times New Roman" w:eastAsia="Times New Roman" w:hAnsi="Times New Roman" w:cs="Times New Roman"/>
          <w:i/>
          <w:color w:val="auto"/>
        </w:rPr>
        <w:t xml:space="preserve"> leis sobre registro, vacinação e capturas de animais; sobre concessão de licenças e </w:t>
      </w:r>
      <w:r>
        <w:rPr>
          <w:rFonts w:ascii="Times New Roman" w:eastAsia="Times New Roman" w:hAnsi="Times New Roman" w:cs="Times New Roman"/>
          <w:i/>
          <w:color w:val="auto"/>
        </w:rPr>
        <w:lastRenderedPageBreak/>
        <w:t xml:space="preserve">alvarás; dispor sobre denominação, numeração e emplacamento de logradouros públicos; legislar sobre os serviços de transporte coletivo urbano e </w:t>
      </w:r>
      <w:proofErr w:type="spellStart"/>
      <w:r>
        <w:rPr>
          <w:rFonts w:ascii="Times New Roman" w:eastAsia="Times New Roman" w:hAnsi="Times New Roman" w:cs="Times New Roman"/>
          <w:i/>
          <w:color w:val="auto"/>
        </w:rPr>
        <w:t>intramunicipal</w:t>
      </w:r>
      <w:proofErr w:type="spellEnd"/>
      <w:r>
        <w:rPr>
          <w:rFonts w:ascii="Times New Roman" w:eastAsia="Times New Roman" w:hAnsi="Times New Roman" w:cs="Times New Roman"/>
          <w:i/>
          <w:color w:val="auto"/>
        </w:rPr>
        <w:t>, abastecimen</w:t>
      </w:r>
      <w:r>
        <w:rPr>
          <w:rFonts w:ascii="Times New Roman" w:eastAsia="Times New Roman" w:hAnsi="Times New Roman" w:cs="Times New Roman"/>
          <w:i/>
          <w:color w:val="auto"/>
        </w:rPr>
        <w:t xml:space="preserve">to de água e esgotos sanitários; mercados, feiras e matadouros locais; cemitérios e serviços funerários; iluminação, limpeza pública, dentre outras competências.” </w:t>
      </w:r>
      <w:r>
        <w:rPr>
          <w:rFonts w:ascii="Times New Roman" w:eastAsia="Times New Roman" w:hAnsi="Times New Roman" w:cs="Times New Roman"/>
          <w:color w:val="auto"/>
        </w:rPr>
        <w:t>(</w:t>
      </w:r>
      <w:proofErr w:type="gramStart"/>
      <w:r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nosso) </w:t>
      </w:r>
    </w:p>
    <w:p w:rsidR="002540BC" w:rsidRDefault="00F7243D">
      <w:pPr>
        <w:spacing w:after="176"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Por interesse local entende-se: </w:t>
      </w:r>
    </w:p>
    <w:p w:rsidR="002540BC" w:rsidRDefault="00F7243D">
      <w:pPr>
        <w:spacing w:before="240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 xml:space="preserve">“Apesar de difícil conceituação, interesse </w:t>
      </w:r>
      <w:r>
        <w:rPr>
          <w:rFonts w:ascii="Times New Roman" w:eastAsia="Times New Roman" w:hAnsi="Times New Roman" w:cs="Times New Roman"/>
          <w:i/>
          <w:color w:val="auto"/>
        </w:rPr>
        <w:t>local refere-se àqueles interesses que possam dizer respeito mais diretamente às necessidades imediatas do Município, mesmo que acabem gerando reflexos no interesse regional (Estados) ou geral (União), uma vez que é inegável que mesmo atividades e serviços</w:t>
      </w:r>
      <w:r>
        <w:rPr>
          <w:rFonts w:ascii="Times New Roman" w:eastAsia="Times New Roman" w:hAnsi="Times New Roman" w:cs="Times New Roman"/>
          <w:i/>
          <w:color w:val="auto"/>
        </w:rPr>
        <w:t xml:space="preserve"> tradicionalmente desempenhados pelos Municípios, como transporte coletivo, polícia das edificações, fiscalização das condições de higiene de restaurantes e similares, coleta de lixo, ordenações do uso do solo urbano, etc., dizem secundariamente com o inte</w:t>
      </w:r>
      <w:r>
        <w:rPr>
          <w:rFonts w:ascii="Times New Roman" w:eastAsia="Times New Roman" w:hAnsi="Times New Roman" w:cs="Times New Roman"/>
          <w:i/>
          <w:color w:val="auto"/>
        </w:rPr>
        <w:t>resse estadual e nacional.”</w:t>
      </w:r>
      <w:r>
        <w:rPr>
          <w:rFonts w:ascii="Times New Roman" w:eastAsia="Arial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(FERREIRA, Gilmar Mendes, </w:t>
      </w:r>
      <w:r>
        <w:rPr>
          <w:rFonts w:ascii="Times New Roman" w:eastAsia="Times New Roman" w:hAnsi="Times New Roman" w:cs="Times New Roman"/>
          <w:i/>
          <w:color w:val="auto"/>
        </w:rPr>
        <w:t>in</w:t>
      </w:r>
      <w:r>
        <w:rPr>
          <w:rFonts w:ascii="Times New Roman" w:eastAsia="Times New Roman" w:hAnsi="Times New Roman" w:cs="Times New Roman"/>
          <w:color w:val="auto"/>
        </w:rPr>
        <w:t xml:space="preserve"> Gestão Pública e Direito Municipal, 1ª. ed., Saraiva).</w:t>
      </w:r>
      <w:r>
        <w:rPr>
          <w:rFonts w:ascii="Times New Roman" w:eastAsia="Arial" w:hAnsi="Times New Roman" w:cs="Times New Roman"/>
          <w:color w:val="auto"/>
        </w:rPr>
        <w:t xml:space="preserve"> </w:t>
      </w:r>
    </w:p>
    <w:p w:rsidR="002540BC" w:rsidRDefault="00F7243D">
      <w:pPr>
        <w:spacing w:before="240" w:line="360" w:lineRule="auto"/>
        <w:ind w:left="10" w:right="-9" w:firstLine="5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Consoante tem sido o entendimento do Órgão Especial do Tribunal de Justiça de São Paulo. A Lei 4.639/2013, que instituiu o “Dia da Bíblia” no município de Suzano e trata de matéria análoga à em análise, foi declarada constitucional pelo Des. Rel. Antônio C</w:t>
      </w:r>
      <w:r>
        <w:rPr>
          <w:rFonts w:ascii="Times New Roman" w:eastAsia="Times New Roman" w:hAnsi="Times New Roman" w:cs="Times New Roman"/>
          <w:color w:val="auto"/>
        </w:rPr>
        <w:t xml:space="preserve">arlos Malheiros na Ação Direta de Inconstitucionalidade, cumpre registrar o seguinte: </w:t>
      </w:r>
    </w:p>
    <w:p w:rsidR="002540BC" w:rsidRDefault="00F7243D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“A Lei, ora em exame</w:t>
      </w:r>
      <w:r>
        <w:rPr>
          <w:rFonts w:ascii="Times New Roman" w:eastAsia="Times New Roman" w:hAnsi="Times New Roman" w:cs="Times New Roman"/>
          <w:b/>
          <w:i/>
          <w:color w:val="auto"/>
        </w:rPr>
        <w:t>, não tratou de matéria cuja iniciativa é reservada ao Chefe do Poder Executivo Municipal</w:t>
      </w:r>
      <w:r>
        <w:rPr>
          <w:rFonts w:ascii="Times New Roman" w:eastAsia="Times New Roman" w:hAnsi="Times New Roman" w:cs="Times New Roman"/>
          <w:i/>
          <w:color w:val="auto"/>
        </w:rPr>
        <w:t>, não se vislumbrando violação dos princípios da competência</w:t>
      </w:r>
      <w:r>
        <w:rPr>
          <w:rFonts w:ascii="Times New Roman" w:eastAsia="Times New Roman" w:hAnsi="Times New Roman" w:cs="Times New Roman"/>
          <w:i/>
          <w:color w:val="auto"/>
        </w:rPr>
        <w:t xml:space="preserve"> exclusiva e da separação de poderes por invasão da esfera da gestão administrativa. (...) </w:t>
      </w:r>
    </w:p>
    <w:p w:rsidR="002540BC" w:rsidRDefault="00F7243D">
      <w:pPr>
        <w:spacing w:after="212" w:line="360" w:lineRule="auto"/>
        <w:ind w:left="2112" w:right="-1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Por força da Constituição</w:t>
      </w:r>
      <w:r>
        <w:rPr>
          <w:rFonts w:ascii="Times New Roman" w:eastAsia="Times New Roman" w:hAnsi="Times New Roman" w:cs="Times New Roman"/>
          <w:i/>
          <w:color w:val="auto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os municípios foram dotados de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autonomia legislativa, que vem consubstanciada na capacidade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legislar sobre assuntos de interesse local</w:t>
      </w: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, inclusive a fixação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datas comemorativa</w:t>
      </w:r>
      <w:r>
        <w:rPr>
          <w:rFonts w:ascii="Times New Roman" w:eastAsia="Times New Roman" w:hAnsi="Times New Roman" w:cs="Times New Roman"/>
          <w:i/>
          <w:color w:val="auto"/>
          <w:u w:val="single" w:color="000000"/>
        </w:rPr>
        <w:t>s</w:t>
      </w:r>
      <w:r>
        <w:rPr>
          <w:rFonts w:ascii="Times New Roman" w:eastAsia="Times New Roman" w:hAnsi="Times New Roman" w:cs="Times New Roman"/>
          <w:i/>
          <w:color w:val="auto"/>
        </w:rPr>
        <w:t xml:space="preserve"> e de suplementar a legislação federal e estadual no que couber (art. 30, I e II, da CF). (...) </w:t>
      </w:r>
    </w:p>
    <w:p w:rsidR="002540BC" w:rsidRDefault="00F7243D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Observe-se, ainda, que a lei em foco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não importa em aumento da despesa pública,</w:t>
      </w:r>
      <w:r>
        <w:rPr>
          <w:rFonts w:ascii="Times New Roman" w:eastAsia="Times New Roman" w:hAnsi="Times New Roman" w:cs="Times New Roman"/>
          <w:i/>
          <w:color w:val="auto"/>
        </w:rPr>
        <w:t xml:space="preserve"> na medida em que não há previsão ne</w:t>
      </w:r>
      <w:r>
        <w:rPr>
          <w:rFonts w:ascii="Times New Roman" w:eastAsia="Times New Roman" w:hAnsi="Times New Roman" w:cs="Times New Roman"/>
          <w:i/>
          <w:color w:val="auto"/>
        </w:rPr>
        <w:t>sse sentido, não obrigando o Poder Público à efetiva realização de comemoração ou festividade oficial.  (...)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540BC" w:rsidRDefault="00F7243D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Não se vê, portanto, qualquer ofensa na lei que institui mera data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comemorativa</w:t>
      </w:r>
      <w:r>
        <w:rPr>
          <w:rFonts w:ascii="Times New Roman" w:eastAsia="Times New Roman" w:hAnsi="Times New Roman" w:cs="Times New Roman"/>
          <w:i/>
          <w:color w:val="auto"/>
        </w:rPr>
        <w:t>, ainda que com aplicação do princípio da simetria em relação às m</w:t>
      </w:r>
      <w:r>
        <w:rPr>
          <w:rFonts w:ascii="Times New Roman" w:eastAsia="Times New Roman" w:hAnsi="Times New Roman" w:cs="Times New Roman"/>
          <w:i/>
          <w:color w:val="auto"/>
        </w:rPr>
        <w:t>atérias de iniciativa exclusiva do Chefe do Poder Executivo do Município, razão pela qual deve ser julgada improcedente a ação direta de inconstitucionalidade”.</w:t>
      </w:r>
      <w:r>
        <w:rPr>
          <w:rFonts w:ascii="Times New Roman" w:eastAsia="Times New Roman" w:hAnsi="Times New Roman" w:cs="Times New Roman"/>
          <w:color w:val="auto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nosso)  </w:t>
      </w:r>
    </w:p>
    <w:p w:rsidR="002540BC" w:rsidRDefault="00F7243D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Isto posto, S.M.J, não se vislumbra obstáculos legais à tramitação do aludido P</w:t>
      </w:r>
      <w:r>
        <w:rPr>
          <w:rFonts w:ascii="Times New Roman" w:eastAsia="Times New Roman" w:hAnsi="Times New Roman" w:cs="Times New Roman"/>
          <w:color w:val="auto"/>
        </w:rPr>
        <w:t xml:space="preserve">rojeto de Lei, visto que não invade a competência do Executivo, tampouco usurpa competência legislativa da União ou do Estado de Minas Gerais. </w:t>
      </w:r>
    </w:p>
    <w:p w:rsidR="002540BC" w:rsidRDefault="00F7243D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>
        <w:rPr>
          <w:rFonts w:ascii="Times New Roman" w:eastAsia="Times New Roman" w:hAnsi="Times New Roman" w:cs="Times New Roman"/>
          <w:color w:val="auto"/>
          <w:u w:val="single"/>
        </w:rPr>
        <w:t>Ressalta-se que, quanto ao mérito, a competência para análise da matéria é única e exclusiva do Douto Plenário d</w:t>
      </w:r>
      <w:r>
        <w:rPr>
          <w:rFonts w:ascii="Times New Roman" w:eastAsia="Times New Roman" w:hAnsi="Times New Roman" w:cs="Times New Roman"/>
          <w:color w:val="auto"/>
          <w:u w:val="single"/>
        </w:rPr>
        <w:t>esta Casa de Leis.</w:t>
      </w:r>
    </w:p>
    <w:p w:rsidR="002540BC" w:rsidRDefault="00F7243D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 xml:space="preserve">QUÓRUM </w:t>
      </w:r>
    </w:p>
    <w:p w:rsidR="002540BC" w:rsidRDefault="00F7243D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 xml:space="preserve">Oportuno esclarecer que para a sua aprovação é exigido quórum de maioria simples, nos termos do artigo 53 da Lei Orgânica Municipal e artigo 56, inciso III do Regimento Interno da Câmara Municipal de Pouso Alegre. </w:t>
      </w:r>
    </w:p>
    <w:p w:rsidR="002540BC" w:rsidRDefault="00F7243D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540BC" w:rsidRDefault="00F7243D">
      <w:pPr>
        <w:pStyle w:val="Ttulo1"/>
        <w:spacing w:after="0" w:line="360" w:lineRule="auto"/>
        <w:ind w:left="718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CONCLUSÃO </w:t>
      </w:r>
    </w:p>
    <w:p w:rsidR="002540BC" w:rsidRDefault="002540BC"/>
    <w:p w:rsidR="002540BC" w:rsidRDefault="00F7243D">
      <w:pPr>
        <w:tabs>
          <w:tab w:val="right" w:pos="8509"/>
        </w:tabs>
        <w:spacing w:after="152" w:line="360" w:lineRule="auto"/>
        <w:ind w:left="-15" w:firstLine="724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</w:rPr>
        <w:t xml:space="preserve">Por tais razões, exara-se </w:t>
      </w:r>
      <w:r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favorável</w:t>
      </w:r>
      <w:r>
        <w:rPr>
          <w:rFonts w:ascii="Times New Roman" w:eastAsia="Times New Roman" w:hAnsi="Times New Roman" w:cs="Times New Roman"/>
          <w:color w:val="auto"/>
        </w:rPr>
        <w:t xml:space="preserve"> ao regular processo de tramitação do </w:t>
      </w:r>
      <w:r>
        <w:rPr>
          <w:rFonts w:ascii="Times New Roman" w:eastAsia="Times New Roman" w:hAnsi="Times New Roman" w:cs="Times New Roman"/>
          <w:b/>
          <w:color w:val="auto"/>
        </w:rPr>
        <w:t>Projeto de Lei 8.122/2025</w:t>
      </w:r>
      <w:r>
        <w:rPr>
          <w:rFonts w:ascii="Times New Roman" w:eastAsia="Times New Roman" w:hAnsi="Times New Roman" w:cs="Times New Roman"/>
          <w:color w:val="auto"/>
        </w:rPr>
        <w:t>, para ser submetido à análise das ‘Comissões Temáticas’ da Casa e, posteriormente, à deliberação Plenária, salientando-se que o parecer jurídico e</w:t>
      </w:r>
      <w:r>
        <w:rPr>
          <w:rFonts w:ascii="Times New Roman" w:eastAsia="Times New Roman" w:hAnsi="Times New Roman" w:cs="Times New Roman"/>
          <w:color w:val="auto"/>
        </w:rPr>
        <w:t xml:space="preserve">xarado é de caráter meramente opinativo, sendo que a decisão final a respeito, compete exclusivamente aos ilustres membros desta Casa de Leis.  </w:t>
      </w:r>
    </w:p>
    <w:p w:rsidR="002540BC" w:rsidRDefault="00F7243D">
      <w:pPr>
        <w:spacing w:after="0" w:line="360" w:lineRule="auto"/>
        <w:ind w:left="718" w:hanging="1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É o modesto entendimento e parecer, S.M.J.</w:t>
      </w:r>
    </w:p>
    <w:p w:rsidR="002540BC" w:rsidRDefault="00F724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540BC" w:rsidRDefault="002540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540BC" w:rsidRDefault="002540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540BC" w:rsidRDefault="002540BC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</w:p>
    <w:p w:rsidR="002540BC" w:rsidRDefault="00F7243D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2540BC" w:rsidRDefault="00F7243D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Procurador – OAB/MG 120847</w:t>
      </w:r>
    </w:p>
    <w:p w:rsidR="002540BC" w:rsidRDefault="002540BC">
      <w:pPr>
        <w:spacing w:after="0" w:line="276" w:lineRule="auto"/>
        <w:ind w:left="55"/>
        <w:jc w:val="center"/>
        <w:rPr>
          <w:rFonts w:ascii="Times New Roman" w:hAnsi="Times New Roman" w:cs="Times New Roman"/>
          <w:color w:val="auto"/>
        </w:rPr>
      </w:pPr>
    </w:p>
    <w:sectPr w:rsidR="002540BC">
      <w:footerReference w:type="even" r:id="rId7"/>
      <w:footerReference w:type="default" r:id="rId8"/>
      <w:footerReference w:type="first" r:id="rId9"/>
      <w:pgSz w:w="11906" w:h="16838"/>
      <w:pgMar w:top="1421" w:right="1696" w:bottom="1530" w:left="1702" w:header="0" w:footer="70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7243D">
      <w:pPr>
        <w:spacing w:after="0" w:line="240" w:lineRule="auto"/>
      </w:pPr>
      <w:r>
        <w:separator/>
      </w:r>
    </w:p>
  </w:endnote>
  <w:endnote w:type="continuationSeparator" w:id="0">
    <w:p w:rsidR="00000000" w:rsidRDefault="00F7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0BC" w:rsidRDefault="00F7243D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0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2540BC" w:rsidRDefault="00F7243D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0BC" w:rsidRDefault="00F7243D">
    <w:pPr>
      <w:spacing w:after="0"/>
      <w:ind w:right="4"/>
      <w:jc w:val="right"/>
      <w:rPr>
        <w:sz w:val="18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2540BC" w:rsidRDefault="00F7243D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0BC" w:rsidRDefault="00F7243D">
    <w:pPr>
      <w:spacing w:after="0"/>
      <w:ind w:right="4"/>
      <w:jc w:val="right"/>
      <w:rPr>
        <w:sz w:val="18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2540BC" w:rsidRDefault="00F7243D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7243D">
      <w:pPr>
        <w:spacing w:after="0" w:line="240" w:lineRule="auto"/>
      </w:pPr>
      <w:r>
        <w:separator/>
      </w:r>
    </w:p>
  </w:footnote>
  <w:footnote w:type="continuationSeparator" w:id="0">
    <w:p w:rsidR="00000000" w:rsidRDefault="00F72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BC"/>
    <w:rsid w:val="00205378"/>
    <w:rsid w:val="002540BC"/>
    <w:rsid w:val="00F7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0ACD6-EC5C-4F42-8185-307F86D7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39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0" w:line="259" w:lineRule="auto"/>
      <w:ind w:left="1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97FDE"/>
    <w:rPr>
      <w:rFonts w:ascii="Calibri" w:eastAsia="Calibri" w:hAnsi="Calibri" w:cs="Calibri"/>
      <w:color w:val="00000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Cabealhoerodapuser">
    <w:name w:val="Cabeçalho e rodapé (user)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97FD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Cabealhoerodapuser"/>
  </w:style>
  <w:style w:type="numbering" w:customStyle="1" w:styleId="Semlistauser">
    <w:name w:val="Sem lista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64C7-E88E-43AE-B420-E1E09050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1023</Words>
  <Characters>5525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escola04</dc:creator>
  <dc:description/>
  <cp:lastModifiedBy>user4847</cp:lastModifiedBy>
  <cp:revision>17</cp:revision>
  <dcterms:created xsi:type="dcterms:W3CDTF">2025-02-13T15:06:00Z</dcterms:created>
  <dcterms:modified xsi:type="dcterms:W3CDTF">2025-07-02T17:09:00Z</dcterms:modified>
  <dc:language>pt-BR</dc:language>
</cp:coreProperties>
</file>