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2413B7">
        <w:rPr>
          <w:rFonts w:ascii="Times New Roman" w:eastAsia="Times New Roman" w:hAnsi="Times New Roman" w:cs="Times New Roman"/>
          <w:b/>
        </w:rPr>
        <w:t>10 de junho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F04752" w:rsidRPr="000E7C8D" w:rsidRDefault="002D7377" w:rsidP="00F04752">
      <w:pPr>
        <w:spacing w:line="360" w:lineRule="auto"/>
        <w:ind w:firstLine="708"/>
        <w:jc w:val="both"/>
      </w:pPr>
      <w:r w:rsidRPr="00BA4608">
        <w:rPr>
          <w:rFonts w:ascii="Times New Roman" w:hAnsi="Times New Roman"/>
          <w:b/>
        </w:rPr>
        <w:t xml:space="preserve"> </w:t>
      </w:r>
      <w:r w:rsidRPr="00635D64">
        <w:rPr>
          <w:rFonts w:ascii="Times New Roman" w:hAnsi="Times New Roman"/>
        </w:rPr>
        <w:t>Nos termos do artigo 79 e seguintes</w:t>
      </w:r>
      <w:r w:rsidR="00BA4608" w:rsidRPr="00635D64">
        <w:rPr>
          <w:rFonts w:ascii="Times New Roman" w:hAnsi="Times New Roman"/>
        </w:rPr>
        <w:t>,</w:t>
      </w:r>
      <w:r w:rsidRPr="00635D64">
        <w:rPr>
          <w:rFonts w:ascii="Times New Roman" w:hAnsi="Times New Roman"/>
        </w:rPr>
        <w:t xml:space="preserve"> do Regimento Interno d</w:t>
      </w:r>
      <w:r w:rsidR="00BA4608" w:rsidRPr="00635D64">
        <w:rPr>
          <w:rFonts w:ascii="Times New Roman" w:hAnsi="Times New Roman"/>
        </w:rPr>
        <w:t>a Câmara Municipal</w:t>
      </w:r>
      <w:r w:rsidRPr="00635D64">
        <w:rPr>
          <w:rFonts w:ascii="Times New Roman" w:hAnsi="Times New Roman"/>
        </w:rPr>
        <w:t xml:space="preserve">, passamos a analisar os aspectos legais do </w:t>
      </w:r>
      <w:r w:rsidR="0054459C">
        <w:rPr>
          <w:rFonts w:ascii="Times New Roman" w:hAnsi="Times New Roman"/>
          <w:b/>
        </w:rPr>
        <w:t>Projeto de Lei n° 8.089</w:t>
      </w:r>
      <w:r w:rsidR="00A625F0" w:rsidRPr="00635D64">
        <w:rPr>
          <w:rFonts w:ascii="Times New Roman" w:hAnsi="Times New Roman"/>
          <w:b/>
        </w:rPr>
        <w:t>/2025</w:t>
      </w:r>
      <w:r w:rsidRPr="00635D64">
        <w:rPr>
          <w:rFonts w:ascii="Times New Roman" w:hAnsi="Times New Roman"/>
        </w:rPr>
        <w:t xml:space="preserve">, de </w:t>
      </w:r>
      <w:r w:rsidRPr="00635D64">
        <w:rPr>
          <w:rFonts w:ascii="Times New Roman" w:hAnsi="Times New Roman"/>
          <w:b/>
        </w:rPr>
        <w:t xml:space="preserve">autoria </w:t>
      </w:r>
      <w:r w:rsidR="00F04752">
        <w:rPr>
          <w:rFonts w:ascii="Times New Roman" w:hAnsi="Times New Roman"/>
          <w:b/>
        </w:rPr>
        <w:t>da</w:t>
      </w:r>
      <w:r w:rsidR="00300B8B" w:rsidRPr="00635D64">
        <w:rPr>
          <w:rFonts w:ascii="Times New Roman" w:hAnsi="Times New Roman"/>
          <w:b/>
        </w:rPr>
        <w:t xml:space="preserve"> Vereador</w:t>
      </w:r>
      <w:r w:rsidR="00F04752">
        <w:rPr>
          <w:rFonts w:ascii="Times New Roman" w:hAnsi="Times New Roman"/>
          <w:b/>
        </w:rPr>
        <w:t>a</w:t>
      </w:r>
      <w:r w:rsidR="00635D64" w:rsidRPr="00635D64">
        <w:rPr>
          <w:rFonts w:ascii="Times New Roman" w:hAnsi="Times New Roman"/>
          <w:b/>
        </w:rPr>
        <w:t xml:space="preserve"> </w:t>
      </w:r>
      <w:r w:rsidR="002413B7">
        <w:rPr>
          <w:rFonts w:ascii="Times New Roman" w:hAnsi="Times New Roman"/>
          <w:b/>
        </w:rPr>
        <w:t>Lívia Macedo</w:t>
      </w:r>
      <w:r w:rsidR="00277132" w:rsidRPr="00635D64">
        <w:rPr>
          <w:rFonts w:ascii="Times New Roman" w:hAnsi="Times New Roman"/>
          <w:b/>
        </w:rPr>
        <w:t>,</w:t>
      </w:r>
      <w:r w:rsidRPr="00635D64">
        <w:rPr>
          <w:rFonts w:ascii="Times New Roman" w:hAnsi="Times New Roman"/>
        </w:rPr>
        <w:t xml:space="preserve"> que </w:t>
      </w:r>
      <w:r w:rsidR="0054459C" w:rsidRPr="0054459C">
        <w:rPr>
          <w:rFonts w:ascii="Times New Roman" w:hAnsi="Times New Roman" w:cs="Times New Roman"/>
          <w:b/>
          <w:sz w:val="24"/>
          <w:szCs w:val="24"/>
        </w:rPr>
        <w:t>“DISPÕE SOBRE A ASSISTÊNCIA DE PROFISSIONAIS FISIOTERAPEUTAS PÉLVICAS À GESTANTE, PARTURIENTE E PUÉRPERA NO MUNICÍPIO DE POUSO ALEGRE”.</w:t>
      </w:r>
    </w:p>
    <w:p w:rsidR="00BA4608" w:rsidRPr="00635D64" w:rsidRDefault="00BA4608" w:rsidP="00635D64">
      <w:pPr>
        <w:pStyle w:val="TextosemFormatao"/>
        <w:spacing w:line="360" w:lineRule="auto"/>
        <w:jc w:val="both"/>
        <w:rPr>
          <w:rFonts w:ascii="Times New Roman" w:hAnsi="Times New Roman"/>
          <w:b/>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54459C" w:rsidRDefault="00643353" w:rsidP="0054459C">
      <w:pPr>
        <w:ind w:right="-1"/>
        <w:jc w:val="both"/>
        <w:rPr>
          <w:rFonts w:ascii="Times New Roman" w:hAnsi="Times New Roman" w:cs="Times New Roman"/>
        </w:rPr>
      </w:pPr>
      <w:r>
        <w:rPr>
          <w:rFonts w:ascii="Times New Roman" w:hAnsi="Times New Roman" w:cs="Times New Roman"/>
          <w:b/>
        </w:rPr>
        <w:t>“</w:t>
      </w:r>
      <w:r w:rsidR="0054459C" w:rsidRPr="00C27F83">
        <w:rPr>
          <w:rFonts w:ascii="Times New Roman" w:hAnsi="Times New Roman" w:cs="Times New Roman"/>
          <w:b/>
        </w:rPr>
        <w:t>Art. 1º</w:t>
      </w:r>
      <w:r w:rsidR="0054459C">
        <w:rPr>
          <w:rFonts w:ascii="Times New Roman" w:hAnsi="Times New Roman" w:cs="Times New Roman"/>
        </w:rPr>
        <w:t xml:space="preserve"> Fica assegurado a toda gestante e parturiente o direito à assistência de profissionais fisioterapeutas pélvicas na gestação, parto e pós-parto, caso a profissional seja contratada pela gestante, em maternidades, casas de parto e estabelecimentos hospitalares, tanto na rede pública quanto privada.</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Parágrafo único</w:t>
      </w:r>
      <w:r>
        <w:rPr>
          <w:rFonts w:ascii="Times New Roman" w:hAnsi="Times New Roman" w:cs="Times New Roman"/>
          <w:b/>
        </w:rPr>
        <w:t>.</w:t>
      </w:r>
      <w:r>
        <w:rPr>
          <w:rFonts w:ascii="Times New Roman" w:hAnsi="Times New Roman" w:cs="Times New Roman"/>
        </w:rPr>
        <w:t xml:space="preserve"> Para efeitos desta lei, a fisioterapeuta pélvica é a profissional habilitada para aplicação de técnicas e recursos relacionados à funcionalidade do assoalho pélvico, realização de avaliação física e </w:t>
      </w:r>
      <w:proofErr w:type="spellStart"/>
      <w:r>
        <w:rPr>
          <w:rFonts w:ascii="Times New Roman" w:hAnsi="Times New Roman" w:cs="Times New Roman"/>
        </w:rPr>
        <w:t>cinesiofuncional</w:t>
      </w:r>
      <w:proofErr w:type="spellEnd"/>
      <w:r>
        <w:rPr>
          <w:rFonts w:ascii="Times New Roman" w:hAnsi="Times New Roman" w:cs="Times New Roman"/>
        </w:rPr>
        <w:t xml:space="preserve"> do sistema </w:t>
      </w:r>
      <w:proofErr w:type="spellStart"/>
      <w:r>
        <w:rPr>
          <w:rFonts w:ascii="Times New Roman" w:hAnsi="Times New Roman" w:cs="Times New Roman"/>
        </w:rPr>
        <w:t>uroginecológico</w:t>
      </w:r>
      <w:proofErr w:type="spellEnd"/>
      <w:r>
        <w:rPr>
          <w:rFonts w:ascii="Times New Roman" w:hAnsi="Times New Roman" w:cs="Times New Roman"/>
        </w:rPr>
        <w:t xml:space="preserve">, </w:t>
      </w:r>
      <w:proofErr w:type="spellStart"/>
      <w:r>
        <w:rPr>
          <w:rFonts w:ascii="Times New Roman" w:hAnsi="Times New Roman" w:cs="Times New Roman"/>
        </w:rPr>
        <w:t>coloproctológico</w:t>
      </w:r>
      <w:proofErr w:type="spellEnd"/>
      <w:r>
        <w:rPr>
          <w:rFonts w:ascii="Times New Roman" w:hAnsi="Times New Roman" w:cs="Times New Roman"/>
        </w:rPr>
        <w:t xml:space="preserve">, mama e do aparelho reprodutor feminino, além de poder solicitar, aplicar e interpretar escalas, questionários e testes funcionais como graduação de força e função do assoalho pélvico pela palpação uni ou </w:t>
      </w:r>
      <w:proofErr w:type="spellStart"/>
      <w:r>
        <w:rPr>
          <w:rFonts w:ascii="Times New Roman" w:hAnsi="Times New Roman" w:cs="Times New Roman"/>
        </w:rPr>
        <w:t>bidigital</w:t>
      </w:r>
      <w:proofErr w:type="spellEnd"/>
      <w:r>
        <w:rPr>
          <w:rFonts w:ascii="Times New Roman" w:hAnsi="Times New Roman" w:cs="Times New Roman"/>
        </w:rPr>
        <w:t xml:space="preserve">, graduação de dor pélvica, escala de avaliação funcional sexual feminina, teste de sensibilidade, prova de função muscular, articular de membros superiores e inferiores, dentre outros, conforme regulamentado na Lei nº 6.316, de 17 de dezembro de 1975, no Decreto-Lei nº 938, de 13 de outubro de 1969, no Decreto Federal nº 90.640, de 10 de dezembro de 1984 e na Resolução </w:t>
      </w:r>
      <w:proofErr w:type="spellStart"/>
      <w:r>
        <w:rPr>
          <w:rFonts w:ascii="Times New Roman" w:hAnsi="Times New Roman" w:cs="Times New Roman"/>
        </w:rPr>
        <w:t>Coffito</w:t>
      </w:r>
      <w:proofErr w:type="spellEnd"/>
      <w:r>
        <w:rPr>
          <w:rFonts w:ascii="Times New Roman" w:hAnsi="Times New Roman" w:cs="Times New Roman"/>
        </w:rPr>
        <w:t xml:space="preserve"> nº 402, de 3 de agosto de 2011.</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Art. 2º</w:t>
      </w:r>
      <w:r>
        <w:rPr>
          <w:rFonts w:ascii="Times New Roman" w:hAnsi="Times New Roman" w:cs="Times New Roman"/>
        </w:rPr>
        <w:t xml:space="preserve"> A presença da profissional fisioterapeuta pélvica não se confunde com a presença do acompanhante, instituída pela Lei Federal nº 14.737, de 27 de novembro de 2023.</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Art. 3º</w:t>
      </w:r>
      <w:r>
        <w:rPr>
          <w:rFonts w:ascii="Times New Roman" w:hAnsi="Times New Roman" w:cs="Times New Roman"/>
        </w:rPr>
        <w:t xml:space="preserve"> As instituições mencionadas no art. 1º desta lei deverão realizar prévio cadastramento das profissionais fisioterapeutas pélvicas, podendo exigir documentos pertinentes à formação profissional, tais como:</w:t>
      </w:r>
    </w:p>
    <w:p w:rsidR="0054459C" w:rsidRDefault="0054459C" w:rsidP="0054459C">
      <w:pPr>
        <w:ind w:right="-1"/>
        <w:jc w:val="both"/>
        <w:rPr>
          <w:rFonts w:ascii="Times New Roman" w:hAnsi="Times New Roman" w:cs="Times New Roman"/>
        </w:rPr>
      </w:pPr>
      <w:r>
        <w:rPr>
          <w:rFonts w:ascii="Times New Roman" w:hAnsi="Times New Roman" w:cs="Times New Roman"/>
        </w:rPr>
        <w:lastRenderedPageBreak/>
        <w:t xml:space="preserve">I - certificação de graduação; </w:t>
      </w:r>
    </w:p>
    <w:p w:rsidR="0054459C" w:rsidRDefault="0054459C" w:rsidP="0054459C">
      <w:pPr>
        <w:ind w:right="-1"/>
        <w:jc w:val="both"/>
        <w:rPr>
          <w:rFonts w:ascii="Times New Roman" w:hAnsi="Times New Roman" w:cs="Times New Roman"/>
        </w:rPr>
      </w:pPr>
      <w:r>
        <w:rPr>
          <w:rFonts w:ascii="Times New Roman" w:hAnsi="Times New Roman" w:cs="Times New Roman"/>
        </w:rPr>
        <w:t>II - inscrição no Conselho Regional de Fisioterapia;</w:t>
      </w:r>
    </w:p>
    <w:p w:rsidR="0054459C" w:rsidRDefault="0054459C" w:rsidP="0054459C">
      <w:pPr>
        <w:ind w:right="-1"/>
        <w:jc w:val="both"/>
        <w:rPr>
          <w:rFonts w:ascii="Times New Roman" w:hAnsi="Times New Roman" w:cs="Times New Roman"/>
        </w:rPr>
      </w:pPr>
      <w:r>
        <w:rPr>
          <w:rFonts w:ascii="Times New Roman" w:hAnsi="Times New Roman" w:cs="Times New Roman"/>
        </w:rPr>
        <w:t>III - certificação de especialização em Saúde da Mulher.</w:t>
      </w:r>
    </w:p>
    <w:p w:rsidR="0054459C" w:rsidRPr="00253803" w:rsidRDefault="0054459C" w:rsidP="0054459C">
      <w:pPr>
        <w:ind w:right="-1"/>
        <w:jc w:val="both"/>
        <w:rPr>
          <w:rFonts w:ascii="Times New Roman" w:hAnsi="Times New Roman" w:cs="Times New Roman"/>
        </w:rPr>
      </w:pPr>
      <w:r w:rsidRPr="00C27F83">
        <w:rPr>
          <w:rFonts w:ascii="Times New Roman" w:hAnsi="Times New Roman" w:cs="Times New Roman"/>
          <w:b/>
        </w:rPr>
        <w:t>Art. 4º</w:t>
      </w:r>
      <w:r>
        <w:rPr>
          <w:rFonts w:ascii="Times New Roman" w:hAnsi="Times New Roman" w:cs="Times New Roman"/>
        </w:rPr>
        <w:t xml:space="preserve"> </w:t>
      </w:r>
      <w:r w:rsidRPr="00253803">
        <w:rPr>
          <w:rFonts w:ascii="Times New Roman" w:hAnsi="Times New Roman" w:cs="Times New Roman"/>
        </w:rPr>
        <w:t>Diante da necessidade e pedido da gestante/parturiente/puérpera, poderá a profissional fisioterapeuta pélvica ingressar na maternidade para:</w:t>
      </w:r>
    </w:p>
    <w:p w:rsidR="0054459C" w:rsidRPr="00253803" w:rsidRDefault="0054459C" w:rsidP="0054459C">
      <w:pPr>
        <w:ind w:right="-1"/>
        <w:jc w:val="both"/>
        <w:rPr>
          <w:rFonts w:ascii="Times New Roman" w:hAnsi="Times New Roman" w:cs="Times New Roman"/>
        </w:rPr>
      </w:pPr>
      <w:r>
        <w:rPr>
          <w:rFonts w:ascii="Times New Roman" w:hAnsi="Times New Roman" w:cs="Times New Roman"/>
        </w:rPr>
        <w:t xml:space="preserve">I - </w:t>
      </w:r>
      <w:r w:rsidRPr="00253803">
        <w:rPr>
          <w:rFonts w:ascii="Times New Roman" w:hAnsi="Times New Roman" w:cs="Times New Roman"/>
        </w:rPr>
        <w:t xml:space="preserve">propor e auxiliar com as melhores posturas para o período expulsivo, favorecendo uma menor ocorrência de lesões dos músculos do assoalho pélvico; </w:t>
      </w:r>
    </w:p>
    <w:p w:rsidR="0054459C" w:rsidRPr="00253803" w:rsidRDefault="0054459C" w:rsidP="0054459C">
      <w:pPr>
        <w:ind w:right="-1"/>
        <w:jc w:val="both"/>
        <w:rPr>
          <w:rFonts w:ascii="Times New Roman" w:hAnsi="Times New Roman" w:cs="Times New Roman"/>
        </w:rPr>
      </w:pPr>
      <w:r>
        <w:rPr>
          <w:rFonts w:ascii="Times New Roman" w:hAnsi="Times New Roman" w:cs="Times New Roman"/>
        </w:rPr>
        <w:t xml:space="preserve">II - </w:t>
      </w:r>
      <w:r w:rsidRPr="00253803">
        <w:rPr>
          <w:rFonts w:ascii="Times New Roman" w:hAnsi="Times New Roman" w:cs="Times New Roman"/>
        </w:rPr>
        <w:t xml:space="preserve">realizar eletroestimulação nervosa </w:t>
      </w:r>
      <w:proofErr w:type="spellStart"/>
      <w:r w:rsidRPr="00253803">
        <w:rPr>
          <w:rFonts w:ascii="Times New Roman" w:hAnsi="Times New Roman" w:cs="Times New Roman"/>
        </w:rPr>
        <w:t>transcutânea</w:t>
      </w:r>
      <w:proofErr w:type="spellEnd"/>
      <w:r w:rsidRPr="00253803">
        <w:rPr>
          <w:rFonts w:ascii="Times New Roman" w:hAnsi="Times New Roman" w:cs="Times New Roman"/>
        </w:rPr>
        <w:t xml:space="preserve"> (TENS), terapia manual, exercícios respiratórios, hidroterapia, cinesioterapia; </w:t>
      </w:r>
    </w:p>
    <w:p w:rsidR="0054459C" w:rsidRDefault="0054459C" w:rsidP="0054459C">
      <w:pPr>
        <w:ind w:right="-1"/>
        <w:jc w:val="both"/>
        <w:rPr>
          <w:rFonts w:ascii="Times New Roman" w:hAnsi="Times New Roman" w:cs="Times New Roman"/>
        </w:rPr>
      </w:pPr>
      <w:r>
        <w:rPr>
          <w:rFonts w:ascii="Times New Roman" w:hAnsi="Times New Roman" w:cs="Times New Roman"/>
        </w:rPr>
        <w:t xml:space="preserve">III - </w:t>
      </w:r>
      <w:r w:rsidRPr="00253803">
        <w:rPr>
          <w:rFonts w:ascii="Times New Roman" w:hAnsi="Times New Roman" w:cs="Times New Roman"/>
        </w:rPr>
        <w:t xml:space="preserve">atuar no puerpério imediato, a fim de auxiliar a puérpera na amamentação, prevenir e tratar disfunções musculoesqueléticas e </w:t>
      </w:r>
      <w:proofErr w:type="spellStart"/>
      <w:r w:rsidRPr="00253803">
        <w:rPr>
          <w:rFonts w:ascii="Times New Roman" w:hAnsi="Times New Roman" w:cs="Times New Roman"/>
        </w:rPr>
        <w:t>uroginecológicas</w:t>
      </w:r>
      <w:proofErr w:type="spellEnd"/>
      <w:r w:rsidRPr="00253803">
        <w:rPr>
          <w:rFonts w:ascii="Times New Roman" w:hAnsi="Times New Roman" w:cs="Times New Roman"/>
        </w:rPr>
        <w:t>, alívio de dor não farmacológica voltada ao trauma perineal e incisão de cesáreas, uso de recursos que favorecem a cicatrização, prevenção de complicações clínicas relacionadas ao sistema respiratório, circulatório e intestinal, alívio não farmacológico de diversos sintomas, dores e desconfortos que possam estar presentes, englobando orientações e cuidados gerais, dentre outros.</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Art. 5º</w:t>
      </w:r>
      <w:r>
        <w:rPr>
          <w:rFonts w:ascii="Times New Roman" w:hAnsi="Times New Roman" w:cs="Times New Roman"/>
        </w:rPr>
        <w:t xml:space="preserve"> Para o regular exercício da profissão as profissionais fisioterapeutas pélvicas estão autorizadas a entrar nas maternidades, casas de parto e estabelecimentos hospitalares congêneres localizadas no município de Pouso Alegre, com seus respectivos instrumentos de trabalho, condizentes com as normas de segurança e ambiente hospitalar.</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Parágrafo único.</w:t>
      </w:r>
      <w:r>
        <w:rPr>
          <w:rFonts w:ascii="Times New Roman" w:hAnsi="Times New Roman" w:cs="Times New Roman"/>
        </w:rPr>
        <w:t xml:space="preserve"> Entendem-se como instrumentos de trabalho:</w:t>
      </w:r>
    </w:p>
    <w:p w:rsidR="0054459C" w:rsidRDefault="0054459C" w:rsidP="0054459C">
      <w:pPr>
        <w:ind w:right="-1"/>
        <w:jc w:val="both"/>
        <w:rPr>
          <w:rFonts w:ascii="Times New Roman" w:hAnsi="Times New Roman" w:cs="Times New Roman"/>
        </w:rPr>
      </w:pPr>
      <w:r>
        <w:rPr>
          <w:rFonts w:ascii="Times New Roman" w:hAnsi="Times New Roman" w:cs="Times New Roman"/>
        </w:rPr>
        <w:t>I - TENS;</w:t>
      </w:r>
    </w:p>
    <w:p w:rsidR="0054459C" w:rsidRDefault="0054459C" w:rsidP="0054459C">
      <w:pPr>
        <w:ind w:right="-1"/>
        <w:jc w:val="both"/>
        <w:rPr>
          <w:rFonts w:ascii="Times New Roman" w:hAnsi="Times New Roman" w:cs="Times New Roman"/>
        </w:rPr>
      </w:pPr>
      <w:r>
        <w:rPr>
          <w:rFonts w:ascii="Times New Roman" w:hAnsi="Times New Roman" w:cs="Times New Roman"/>
        </w:rPr>
        <w:t>II - laser;</w:t>
      </w:r>
    </w:p>
    <w:p w:rsidR="0054459C" w:rsidRDefault="0054459C" w:rsidP="0054459C">
      <w:pPr>
        <w:ind w:right="-1"/>
        <w:jc w:val="both"/>
        <w:rPr>
          <w:rFonts w:ascii="Times New Roman" w:hAnsi="Times New Roman" w:cs="Times New Roman"/>
        </w:rPr>
      </w:pPr>
      <w:r>
        <w:rPr>
          <w:rFonts w:ascii="Times New Roman" w:hAnsi="Times New Roman" w:cs="Times New Roman"/>
        </w:rPr>
        <w:t>III - bolas de diversos tamanhos (caso a maternidade não tenha);</w:t>
      </w:r>
    </w:p>
    <w:p w:rsidR="0054459C" w:rsidRDefault="0054459C" w:rsidP="0054459C">
      <w:pPr>
        <w:ind w:right="-1"/>
        <w:jc w:val="both"/>
        <w:rPr>
          <w:rFonts w:ascii="Times New Roman" w:hAnsi="Times New Roman" w:cs="Times New Roman"/>
        </w:rPr>
      </w:pPr>
      <w:r>
        <w:rPr>
          <w:rFonts w:ascii="Times New Roman" w:hAnsi="Times New Roman" w:cs="Times New Roman"/>
        </w:rPr>
        <w:t>IV - faixas elásticas;</w:t>
      </w:r>
    </w:p>
    <w:p w:rsidR="0054459C" w:rsidRDefault="0054459C" w:rsidP="0054459C">
      <w:pPr>
        <w:ind w:right="-1"/>
        <w:jc w:val="both"/>
        <w:rPr>
          <w:rFonts w:ascii="Times New Roman" w:hAnsi="Times New Roman" w:cs="Times New Roman"/>
        </w:rPr>
      </w:pPr>
      <w:r>
        <w:rPr>
          <w:rFonts w:ascii="Times New Roman" w:hAnsi="Times New Roman" w:cs="Times New Roman"/>
        </w:rPr>
        <w:t>V - demais materiais utilizados no acompanhamento do período de trabalho de parto, parto e pós-parto imediato.</w:t>
      </w:r>
    </w:p>
    <w:p w:rsidR="0054459C" w:rsidRDefault="0054459C" w:rsidP="0054459C">
      <w:pPr>
        <w:ind w:right="-1"/>
        <w:jc w:val="both"/>
        <w:rPr>
          <w:rFonts w:ascii="Times New Roman" w:hAnsi="Times New Roman" w:cs="Times New Roman"/>
        </w:rPr>
      </w:pPr>
      <w:r w:rsidRPr="00C27F83">
        <w:rPr>
          <w:rFonts w:ascii="Times New Roman" w:hAnsi="Times New Roman" w:cs="Times New Roman"/>
          <w:b/>
        </w:rPr>
        <w:t>Art. 6º</w:t>
      </w:r>
      <w:r>
        <w:rPr>
          <w:rFonts w:ascii="Times New Roman" w:hAnsi="Times New Roman" w:cs="Times New Roman"/>
        </w:rPr>
        <w:t xml:space="preserve"> Fica expressamente vedado a cobrança de taxa, pelas instituições hospitalares e casas de parto localizadas no município de Pouso Alegre, para que as profissionais fisioterapeutas pélvicas possam atuar em suas dependências.</w:t>
      </w:r>
    </w:p>
    <w:p w:rsidR="002413B7" w:rsidRDefault="0054459C" w:rsidP="0054459C">
      <w:pPr>
        <w:ind w:right="-1"/>
        <w:jc w:val="both"/>
        <w:rPr>
          <w:rFonts w:ascii="Times New Roman" w:hAnsi="Times New Roman" w:cs="Times New Roman"/>
        </w:rPr>
      </w:pPr>
      <w:r w:rsidRPr="00C27F83">
        <w:rPr>
          <w:rFonts w:ascii="Times New Roman" w:hAnsi="Times New Roman" w:cs="Times New Roman"/>
          <w:b/>
        </w:rPr>
        <w:t>Art. 7º</w:t>
      </w:r>
      <w:r>
        <w:rPr>
          <w:rFonts w:ascii="Times New Roman" w:hAnsi="Times New Roman" w:cs="Times New Roman"/>
        </w:rPr>
        <w:t xml:space="preserve"> Esta lei entra em vigor na data de sua publicação.</w:t>
      </w:r>
      <w:r w:rsidR="002413B7">
        <w:rPr>
          <w:rFonts w:ascii="Times New Roman" w:hAnsi="Times New Roman" w:cs="Times New Roman"/>
        </w:rPr>
        <w:t>”</w:t>
      </w:r>
    </w:p>
    <w:p w:rsidR="00F04752" w:rsidRDefault="00F04752" w:rsidP="00F04752">
      <w:pPr>
        <w:ind w:right="-1"/>
        <w:jc w:val="both"/>
        <w:rPr>
          <w:rFonts w:ascii="Times New Roman" w:hAnsi="Times New Roman" w:cs="Times New Roman"/>
        </w:rPr>
      </w:pPr>
    </w:p>
    <w:p w:rsidR="00635D64" w:rsidRPr="00EE7917" w:rsidRDefault="00635D64" w:rsidP="002413B7">
      <w:pPr>
        <w:ind w:right="-1"/>
        <w:jc w:val="both"/>
      </w:pPr>
      <w:r>
        <w:t>FORMA</w:t>
      </w:r>
    </w:p>
    <w:p w:rsidR="00635D64" w:rsidRPr="00EE7917" w:rsidRDefault="00635D64" w:rsidP="00635D64">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635D64" w:rsidRDefault="00635D64" w:rsidP="00635D64">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lastRenderedPageBreak/>
        <w:t xml:space="preserve">Art. 251. Os Projetos de Lei Ordinária são proposições que tem por fim regular toda matéria legislativa de competência da Câmara e sujeita à sanção do Prefeito. </w:t>
      </w:r>
    </w:p>
    <w:p w:rsidR="00635D64" w:rsidRPr="00BA4608" w:rsidRDefault="00635D64" w:rsidP="00635D64">
      <w:pPr>
        <w:spacing w:before="240" w:line="360" w:lineRule="auto"/>
        <w:jc w:val="both"/>
        <w:rPr>
          <w:rFonts w:ascii="Times New Roman" w:hAnsi="Times New Roman" w:cs="Times New Roman"/>
        </w:rPr>
      </w:pPr>
    </w:p>
    <w:p w:rsidR="00635D64" w:rsidRPr="00BA4608" w:rsidRDefault="00635D64" w:rsidP="00635D64">
      <w:pPr>
        <w:pStyle w:val="Ttulo1"/>
        <w:spacing w:before="240" w:after="160" w:line="360" w:lineRule="auto"/>
        <w:rPr>
          <w:sz w:val="22"/>
        </w:rPr>
      </w:pPr>
      <w:r>
        <w:rPr>
          <w:sz w:val="22"/>
        </w:rPr>
        <w:t xml:space="preserve">INICIATIVA E </w:t>
      </w:r>
      <w:r w:rsidRPr="00BA4608">
        <w:rPr>
          <w:sz w:val="22"/>
        </w:rPr>
        <w:t>COMPETÊNCIA</w:t>
      </w:r>
    </w:p>
    <w:p w:rsidR="00635D64" w:rsidRDefault="00635D64" w:rsidP="00635D64">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635D64" w:rsidRPr="00FD0D60" w:rsidRDefault="00635D64" w:rsidP="00635D64">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635D64" w:rsidRDefault="00635D64" w:rsidP="00635D64">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Pr="00FD0D60">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Assim prevê a legislação:</w:t>
      </w:r>
    </w:p>
    <w:p w:rsidR="00635D64" w:rsidRPr="00FD0D60" w:rsidRDefault="00635D64" w:rsidP="00635D64">
      <w:pPr>
        <w:autoSpaceDE w:val="0"/>
        <w:autoSpaceDN w:val="0"/>
        <w:adjustRightInd w:val="0"/>
        <w:spacing w:after="0" w:line="360" w:lineRule="auto"/>
        <w:rPr>
          <w:rFonts w:ascii="Times New Roman" w:eastAsiaTheme="minorEastAsia" w:hAnsi="Times New Roman" w:cs="Times New Roman"/>
          <w:color w:val="auto"/>
        </w:rPr>
      </w:pPr>
    </w:p>
    <w:p w:rsidR="00635D64" w:rsidRPr="00FD0D60"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635D64" w:rsidRPr="00FD0D60" w:rsidRDefault="00635D64" w:rsidP="00635D6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Pr="00FD0D60">
        <w:rPr>
          <w:rFonts w:ascii="Times New Roman" w:eastAsia="Times New Roman" w:hAnsi="Times New Roman" w:cs="Times New Roman"/>
          <w:b/>
        </w:rPr>
        <w:t xml:space="preserve">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 Quanto à melhor forma de se interpretar esse dispositivo normativo, importante destacar que segundo Supremo Tribunal Federal os dispositivos constitucionais que tratam sobre iniciativa reservada devem ser interpretados restritivamente, porque eles excepcionam a regra geral</w:t>
      </w:r>
      <w:r>
        <w:rPr>
          <w:rStyle w:val="Refdenotaderodap"/>
          <w:rFonts w:ascii="Times New Roman" w:eastAsiaTheme="minorEastAsia" w:hAnsi="Times New Roman" w:cs="Times New Roman"/>
          <w:color w:val="auto"/>
        </w:rPr>
        <w:footnoteReference w:id="1"/>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dos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ab/>
        <w:t>Assim, e voltando ao artigo 45 da Lei Orgânica do Município de Pouso Alegre, não se vislumbra em nenhum de seus incisos previsão de iniciativa privativa do Prefeito para projetos de lei que disponham sobre saúde pública.</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normas que visam a promover desenvolvimento qualitativo no serviço de saúde pública prestado.</w:t>
      </w:r>
      <w:r>
        <w:rPr>
          <w:rFonts w:ascii="Times New Roman" w:eastAsiaTheme="minorEastAsia" w:hAnsi="Times New Roman" w:cs="Times New Roman"/>
          <w:color w:val="auto"/>
        </w:rPr>
        <w:tab/>
      </w:r>
      <w:r>
        <w:rPr>
          <w:rFonts w:ascii="Times New Roman" w:eastAsiaTheme="minorEastAsia" w:hAnsi="Times New Roman" w:cs="Times New Roman"/>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dos artigos constitucionais pertinentes, quais sejam, o inciso XXIV do artigo 22, o inciso IX do artigo 24 e os incisos I e II do artigo 30 da Constituição Federal:</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Pr="00EC56DA" w:rsidRDefault="00635D64" w:rsidP="00EC56DA">
      <w:pPr>
        <w:pStyle w:val="SemEspaamento"/>
        <w:spacing w:line="360" w:lineRule="auto"/>
        <w:ind w:left="2268"/>
        <w:jc w:val="both"/>
        <w:rPr>
          <w:rFonts w:ascii="Times New Roman" w:hAnsi="Times New Roman" w:cs="Times New Roman"/>
          <w:i/>
          <w:sz w:val="22"/>
          <w:szCs w:val="22"/>
        </w:rPr>
      </w:pPr>
      <w:r>
        <w:rPr>
          <w:rFonts w:ascii="Times New Roman" w:eastAsiaTheme="minorEastAsia" w:hAnsi="Times New Roman" w:cs="Times New Roman"/>
        </w:rPr>
        <w:tab/>
      </w:r>
      <w:r w:rsidRPr="00FA003C">
        <w:rPr>
          <w:rFonts w:ascii="Times New Roman" w:hAnsi="Times New Roman" w:cs="Times New Roman"/>
          <w:i/>
          <w:shd w:val="clear" w:color="auto" w:fill="FFFFFF"/>
        </w:rPr>
        <w:t> </w:t>
      </w:r>
      <w:bookmarkStart w:id="0" w:name="art22"/>
      <w:bookmarkStart w:id="1" w:name="cfart22"/>
      <w:bookmarkEnd w:id="0"/>
      <w:bookmarkEnd w:id="1"/>
      <w:r w:rsidR="00FF5E9C" w:rsidRPr="00EC56DA">
        <w:rPr>
          <w:rFonts w:ascii="Times New Roman" w:hAnsi="Times New Roman" w:cs="Times New Roman"/>
          <w:i/>
          <w:sz w:val="22"/>
          <w:szCs w:val="22"/>
        </w:rPr>
        <w:t>Art. 23. É competência comum da União, dos Estados, do Distrito Federal e dos Municípios: II - cuidar da saúde e assistência pública, da proteção e garantia das pessoas</w:t>
      </w:r>
      <w:r w:rsidR="00EC56DA">
        <w:rPr>
          <w:rFonts w:ascii="Times New Roman" w:hAnsi="Times New Roman" w:cs="Times New Roman"/>
          <w:i/>
          <w:sz w:val="22"/>
          <w:szCs w:val="22"/>
        </w:rPr>
        <w:t xml:space="preserve"> portadoras de deficiência;</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jc w:val="both"/>
        <w:rPr>
          <w:rFonts w:ascii="Times New Roman" w:hAnsi="Times New Roman" w:cs="Times New Roman"/>
          <w:i/>
          <w:shd w:val="clear" w:color="auto" w:fill="FFFFFF"/>
        </w:rPr>
      </w:pPr>
      <w:r w:rsidRPr="00635D64">
        <w:rPr>
          <w:rFonts w:ascii="Times New Roman" w:hAnsi="Times New Roman" w:cs="Times New Roman"/>
          <w:i/>
          <w:shd w:val="clear" w:color="auto" w:fill="FFFFFF"/>
        </w:rPr>
        <w:t> </w:t>
      </w:r>
      <w:bookmarkStart w:id="2" w:name="art24"/>
      <w:bookmarkStart w:id="3" w:name="cfart24"/>
      <w:bookmarkEnd w:id="2"/>
      <w:bookmarkEnd w:id="3"/>
      <w:r w:rsidRPr="00635D64">
        <w:rPr>
          <w:rFonts w:ascii="Times New Roman" w:hAnsi="Times New Roman" w:cs="Times New Roman"/>
          <w:i/>
          <w:shd w:val="clear" w:color="auto" w:fill="FFFFFF"/>
        </w:rPr>
        <w:tab/>
        <w:t>Art. 24. Compete à União, aos Estados e ao Distrito Federal legislar concorrentemente sobre: XII - previdência social, proteção e defesa da saúde;  </w:t>
      </w:r>
      <w:r w:rsidRPr="00FA003C">
        <w:rPr>
          <w:rFonts w:ascii="Times New Roman" w:hAnsi="Times New Roman" w:cs="Times New Roman"/>
          <w:i/>
          <w:shd w:val="clear" w:color="auto" w:fill="FFFFFF"/>
        </w:rPr>
        <w:t> </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Pr="00B73A04">
        <w:rPr>
          <w:rFonts w:ascii="Times New Roman" w:hAnsi="Times New Roman" w:cs="Times New Roman"/>
          <w:i/>
        </w:rPr>
        <w:t xml:space="preserve"> I - legislar sobre assuntos de interesse local;</w:t>
      </w:r>
      <w:r w:rsidRPr="00B73A04">
        <w:rPr>
          <w:rFonts w:ascii="Times New Roman" w:eastAsia="Times New Roman" w:hAnsi="Times New Roman" w:cs="Times New Roman"/>
          <w:i/>
        </w:rPr>
        <w:t xml:space="preserve"> II - suplementar a legislação federal e a estadual no que couber;</w:t>
      </w:r>
      <w:r w:rsidRPr="00B73A04">
        <w:rPr>
          <w:rFonts w:ascii="Times New Roman" w:eastAsia="Times New Roman" w:hAnsi="Times New Roman" w:cs="Times New Roman"/>
          <w:sz w:val="20"/>
          <w:szCs w:val="20"/>
        </w:rPr>
        <w:t>  </w:t>
      </w:r>
      <w:r w:rsidRPr="00B73A04">
        <w:rPr>
          <w:rFonts w:ascii="Times New Roman" w:eastAsiaTheme="minorEastAsia" w:hAnsi="Times New Roman" w:cs="Times New Roman"/>
          <w:color w:val="auto"/>
        </w:rPr>
        <w:tab/>
      </w:r>
    </w:p>
    <w:p w:rsidR="00635D64" w:rsidRPr="00B73A0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F5E9C"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EC56DA">
        <w:rPr>
          <w:rFonts w:ascii="Times New Roman" w:eastAsiaTheme="minorEastAsia" w:hAnsi="Times New Roman" w:cs="Times New Roman"/>
          <w:color w:val="auto"/>
        </w:rPr>
        <w:t>Também a</w:t>
      </w:r>
      <w:r w:rsidR="00FF5E9C">
        <w:rPr>
          <w:rFonts w:ascii="Times New Roman" w:eastAsiaTheme="minorEastAsia" w:hAnsi="Times New Roman" w:cs="Times New Roman"/>
          <w:color w:val="auto"/>
        </w:rPr>
        <w:t xml:space="preserve"> Lei Orgânica do Município de Pouso Alegre dispõe ser competência do Município, comum à União e ao Estado</w:t>
      </w:r>
      <w:r w:rsidR="00EC56DA">
        <w:rPr>
          <w:rFonts w:ascii="Times New Roman" w:eastAsiaTheme="minorEastAsia" w:hAnsi="Times New Roman" w:cs="Times New Roman"/>
          <w:color w:val="auto"/>
        </w:rPr>
        <w:t>,</w:t>
      </w:r>
      <w:r w:rsidR="00FF5E9C">
        <w:rPr>
          <w:rFonts w:ascii="Times New Roman" w:eastAsiaTheme="minorEastAsia" w:hAnsi="Times New Roman" w:cs="Times New Roman"/>
          <w:color w:val="auto"/>
        </w:rPr>
        <w:t xml:space="preserve"> cuidar da saúde, nos termos abaixo transcrito:</w:t>
      </w:r>
    </w:p>
    <w:p w:rsidR="00FF5E9C" w:rsidRDefault="00FF5E9C" w:rsidP="00635D64">
      <w:pPr>
        <w:autoSpaceDE w:val="0"/>
        <w:autoSpaceDN w:val="0"/>
        <w:adjustRightInd w:val="0"/>
        <w:spacing w:after="0" w:line="360" w:lineRule="auto"/>
        <w:jc w:val="both"/>
        <w:rPr>
          <w:rFonts w:ascii="Times New Roman" w:eastAsiaTheme="minorEastAsia" w:hAnsi="Times New Roman" w:cs="Times New Roman"/>
          <w:color w:val="auto"/>
        </w:rPr>
      </w:pPr>
    </w:p>
    <w:p w:rsidR="00FF5E9C" w:rsidRPr="00FF5E9C" w:rsidRDefault="00FF5E9C" w:rsidP="00FF5E9C">
      <w:pPr>
        <w:autoSpaceDE w:val="0"/>
        <w:autoSpaceDN w:val="0"/>
        <w:adjustRightInd w:val="0"/>
        <w:spacing w:after="0" w:line="360" w:lineRule="auto"/>
        <w:ind w:left="2268"/>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Art. 21. É competência do Município, comum à União e ao Estado;</w:t>
      </w:r>
    </w:p>
    <w:p w:rsidR="00FF5E9C" w:rsidRDefault="00FF5E9C" w:rsidP="00FF5E9C">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II - cuidar da saúde e assistência pública, da proteção e da garantia das pessoas portadoras de deficiência;</w:t>
      </w: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i/>
          <w:color w:val="auto"/>
        </w:rPr>
      </w:pP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FF5E9C">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w:t>
      </w:r>
      <w:r w:rsidR="0060338C">
        <w:rPr>
          <w:rFonts w:ascii="Times New Roman" w:eastAsiaTheme="minorEastAsia" w:hAnsi="Times New Roman" w:cs="Times New Roman"/>
          <w:color w:val="auto"/>
        </w:rPr>
        <w:t xml:space="preserve">também não se vislumbra usurpação de competência por parte do Município. </w:t>
      </w:r>
    </w:p>
    <w:p w:rsidR="0060338C" w:rsidRDefault="0060338C" w:rsidP="00EC56DA">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60338C">
        <w:rPr>
          <w:rFonts w:ascii="Times New Roman" w:eastAsiaTheme="minorEastAsia" w:hAnsi="Times New Roman" w:cs="Times New Roman"/>
          <w:color w:val="auto"/>
        </w:rPr>
        <w:t>Em decisão recente, o Tribunal de Justiça de São Paulo, nos autos da Ação Direita de Inconstitucionalidade nº 2200198-53.2022.8.26.0000</w:t>
      </w:r>
      <w:r>
        <w:rPr>
          <w:rFonts w:ascii="Times New Roman" w:eastAsiaTheme="minorEastAsia" w:hAnsi="Times New Roman" w:cs="Times New Roman"/>
          <w:color w:val="auto"/>
        </w:rPr>
        <w:t>, entendeu não haver vício de iniciativa em lei</w:t>
      </w:r>
      <w:r w:rsidR="00FB1C56">
        <w:rPr>
          <w:rFonts w:ascii="Times New Roman" w:eastAsiaTheme="minorEastAsia" w:hAnsi="Times New Roman" w:cs="Times New Roman"/>
          <w:color w:val="auto"/>
        </w:rPr>
        <w:t>, de iniciativa parlamentar,</w:t>
      </w:r>
      <w:r>
        <w:rPr>
          <w:rFonts w:ascii="Times New Roman" w:eastAsiaTheme="minorEastAsia" w:hAnsi="Times New Roman" w:cs="Times New Roman"/>
          <w:color w:val="auto"/>
        </w:rPr>
        <w:t xml:space="preserve"> de teor semelhante à do Projeto de Lei </w:t>
      </w:r>
      <w:r w:rsidR="00FB1C56">
        <w:rPr>
          <w:rFonts w:ascii="Times New Roman" w:eastAsiaTheme="minorEastAsia" w:hAnsi="Times New Roman" w:cs="Times New Roman"/>
          <w:color w:val="auto"/>
        </w:rPr>
        <w:t>em análise</w:t>
      </w:r>
      <w:r>
        <w:rPr>
          <w:rFonts w:ascii="Times New Roman" w:eastAsiaTheme="minorEastAsia" w:hAnsi="Times New Roman" w:cs="Times New Roman"/>
          <w:color w:val="auto"/>
        </w:rPr>
        <w:t>. Também entendeu haver competência concorrente para o Município legislar. Veja-se trecho da ementa:</w:t>
      </w:r>
    </w:p>
    <w:p w:rsidR="003333A9" w:rsidRDefault="003333A9" w:rsidP="0060338C">
      <w:pPr>
        <w:autoSpaceDE w:val="0"/>
        <w:autoSpaceDN w:val="0"/>
        <w:adjustRightInd w:val="0"/>
        <w:spacing w:after="0" w:line="360" w:lineRule="auto"/>
        <w:rPr>
          <w:rFonts w:ascii="Times New Roman" w:eastAsiaTheme="minorEastAsia" w:hAnsi="Times New Roman" w:cs="Times New Roman"/>
          <w:color w:val="auto"/>
        </w:rPr>
      </w:pPr>
    </w:p>
    <w:p w:rsidR="0060338C" w:rsidRPr="00725666" w:rsidRDefault="0060338C" w:rsidP="0060338C">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666">
        <w:rPr>
          <w:rFonts w:ascii="Times New Roman" w:eastAsiaTheme="minorEastAsia" w:hAnsi="Times New Roman" w:cs="Times New Roman"/>
          <w:i/>
          <w:color w:val="auto"/>
        </w:rPr>
        <w:lastRenderedPageBreak/>
        <w:t xml:space="preserve">AÇÃO DIRETA DE INCONSTITUCIONALIDADE. Artigo 4º da Lei Municipal nº 3.903, de 04/05/2022, do Município de Andradina. 1) Pedido de aditamento à inicial para abranger a totalidade da norma formulado pela d. Procuradoria-geral de Justiça. Deferimento. </w:t>
      </w:r>
      <w:r w:rsidRPr="00725666">
        <w:rPr>
          <w:rFonts w:ascii="Times New Roman" w:eastAsiaTheme="minorEastAsia" w:hAnsi="Times New Roman" w:cs="Times New Roman"/>
          <w:b/>
          <w:i/>
          <w:color w:val="auto"/>
          <w:u w:val="single"/>
        </w:rPr>
        <w:t>2) Lei combatida que “Dispõe sobre a permissão da presença de fisioterapeuta especialista em saúde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 xml:space="preserve">da mulher, obstetrícia e ou </w:t>
      </w:r>
      <w:proofErr w:type="spellStart"/>
      <w:r w:rsidRPr="00725666">
        <w:rPr>
          <w:rFonts w:ascii="Times New Roman" w:eastAsiaTheme="minorEastAsia" w:hAnsi="Times New Roman" w:cs="Times New Roman"/>
          <w:b/>
          <w:i/>
          <w:color w:val="auto"/>
          <w:u w:val="single"/>
        </w:rPr>
        <w:t>doula</w:t>
      </w:r>
      <w:proofErr w:type="spellEnd"/>
      <w:r w:rsidRPr="00725666">
        <w:rPr>
          <w:rFonts w:ascii="Times New Roman" w:eastAsiaTheme="minorEastAsia" w:hAnsi="Times New Roman" w:cs="Times New Roman"/>
          <w:b/>
          <w:i/>
          <w:color w:val="auto"/>
          <w:u w:val="single"/>
        </w:rPr>
        <w:t xml:space="preserve">, durante o período de </w:t>
      </w:r>
      <w:proofErr w:type="spellStart"/>
      <w:r w:rsidRPr="00725666">
        <w:rPr>
          <w:rFonts w:ascii="Times New Roman" w:eastAsiaTheme="minorEastAsia" w:hAnsi="Times New Roman" w:cs="Times New Roman"/>
          <w:b/>
          <w:i/>
          <w:color w:val="auto"/>
          <w:u w:val="single"/>
        </w:rPr>
        <w:t>pré</w:t>
      </w:r>
      <w:r w:rsidR="003333A9" w:rsidRPr="00725666">
        <w:rPr>
          <w:rFonts w:ascii="Times New Roman" w:eastAsiaTheme="minorEastAsia" w:hAnsi="Times New Roman" w:cs="Times New Roman"/>
          <w:b/>
          <w:i/>
          <w:color w:val="auto"/>
          <w:u w:val="single"/>
        </w:rPr>
        <w:t>-</w:t>
      </w:r>
      <w:r w:rsidRPr="00725666">
        <w:rPr>
          <w:rFonts w:ascii="Times New Roman" w:eastAsiaTheme="minorEastAsia" w:hAnsi="Times New Roman" w:cs="Times New Roman"/>
          <w:b/>
          <w:i/>
          <w:color w:val="auto"/>
          <w:u w:val="single"/>
        </w:rPr>
        <w:t>parto</w:t>
      </w:r>
      <w:proofErr w:type="spellEnd"/>
      <w:r w:rsidRPr="00725666">
        <w:rPr>
          <w:rFonts w:ascii="Times New Roman" w:eastAsiaTheme="minorEastAsia" w:hAnsi="Times New Roman" w:cs="Times New Roman"/>
          <w:b/>
          <w:i/>
          <w:color w:val="auto"/>
          <w:u w:val="single"/>
        </w:rPr>
        <w:t>,</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parto e pós-parto imediato, sempre que solicitado pela parturiente, nas maternidades públicas e privadas do Município de Andradina”. Inocorrência de vício de inconstitucionalidade formal e material. Competência concorrente para iniciar o processo legislativo em matéria de saúde pública, bem assim, competente os Municípios para</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legislar supletivamente sobre proteção à saúde, dentro do</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interesse local, consoante já se decidiu na Corte Suprema 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neste C. Órgão Especial.</w:t>
      </w:r>
    </w:p>
    <w:p w:rsidR="0060338C" w:rsidRPr="0060338C" w:rsidRDefault="0060338C" w:rsidP="0060338C">
      <w:pPr>
        <w:autoSpaceDE w:val="0"/>
        <w:autoSpaceDN w:val="0"/>
        <w:adjustRightInd w:val="0"/>
        <w:spacing w:after="0" w:line="360" w:lineRule="auto"/>
        <w:rPr>
          <w:rFonts w:ascii="Times New Roman" w:eastAsiaTheme="minorEastAsia" w:hAnsi="Times New Roman" w:cs="Times New Roman"/>
          <w:color w:val="auto"/>
        </w:rPr>
      </w:pPr>
    </w:p>
    <w:p w:rsidR="00FF5E9C"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corpo do voto, o E. Relator transcrev</w:t>
      </w:r>
      <w:r w:rsidR="00FB1C56">
        <w:rPr>
          <w:rFonts w:ascii="Times New Roman" w:eastAsiaTheme="minorEastAsia" w:hAnsi="Times New Roman" w:cs="Times New Roman"/>
          <w:color w:val="auto"/>
        </w:rPr>
        <w:t>eu</w:t>
      </w:r>
      <w:r>
        <w:rPr>
          <w:rFonts w:ascii="Times New Roman" w:eastAsiaTheme="minorEastAsia" w:hAnsi="Times New Roman" w:cs="Times New Roman"/>
          <w:color w:val="auto"/>
        </w:rPr>
        <w:t xml:space="preserve"> ement</w:t>
      </w:r>
      <w:r w:rsidR="00FB1C56">
        <w:rPr>
          <w:rFonts w:ascii="Times New Roman" w:eastAsiaTheme="minorEastAsia" w:hAnsi="Times New Roman" w:cs="Times New Roman"/>
          <w:color w:val="auto"/>
        </w:rPr>
        <w:t>a</w:t>
      </w:r>
      <w:r>
        <w:rPr>
          <w:rFonts w:ascii="Times New Roman" w:eastAsiaTheme="minorEastAsia" w:hAnsi="Times New Roman" w:cs="Times New Roman"/>
          <w:color w:val="auto"/>
        </w:rPr>
        <w:t>s de outros Acórdãos com a mesma conclusão. Veja-se um deles:</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3333A9">
        <w:rPr>
          <w:rFonts w:ascii="Times New Roman" w:eastAsiaTheme="minorEastAsia" w:hAnsi="Times New Roman" w:cs="Times New Roman"/>
          <w:i/>
          <w:iCs/>
          <w:color w:val="auto"/>
        </w:rPr>
        <w:t>"AÇÃO DIRETA DE INCONSTITUCIONALIDADE Lei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5.463, de 30-8-2019, do Município de Pirassununga, que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'Regulamenta a presença de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nos estabelecimentos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hospitalares durante o trabalho de parto, o parto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propriamente dito e o pós-parto imediato' Alegada violação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com princípios da harmonia e independência entre 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Poderes, da reserva da Administração, da livre iniciativa 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livre concorrência, da razoabilidade e da proporcionalidade.</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b/>
          <w:bCs/>
          <w:i/>
          <w:iCs/>
          <w:color w:val="auto"/>
        </w:rPr>
      </w:pPr>
      <w:r w:rsidRPr="003333A9">
        <w:rPr>
          <w:rFonts w:ascii="Times New Roman" w:eastAsiaTheme="minorEastAsia" w:hAnsi="Times New Roman" w:cs="Times New Roman"/>
          <w:i/>
          <w:iCs/>
          <w:color w:val="auto"/>
        </w:rPr>
        <w:t xml:space="preserve">1 - </w:t>
      </w:r>
      <w:r w:rsidRPr="003333A9">
        <w:rPr>
          <w:rFonts w:ascii="Times New Roman" w:eastAsiaTheme="minorEastAsia" w:hAnsi="Times New Roman" w:cs="Times New Roman"/>
          <w:b/>
          <w:bCs/>
          <w:i/>
          <w:iCs/>
          <w:color w:val="auto"/>
        </w:rPr>
        <w:t>Inconstitucionalidade formal. Programa de saúde pública. Direito à saúde. Vício de iniciativa.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Competência concorrente para iniciar processo legislativo.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Tema 917 da Repercussão Geral do STF. Matéria que não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está inserida na reserva da Administração. 2 Violação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pacto federativo. Programa de saúde pública. Direito à</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proofErr w:type="gramStart"/>
      <w:r w:rsidRPr="003333A9">
        <w:rPr>
          <w:rFonts w:ascii="Times New Roman" w:eastAsiaTheme="minorEastAsia" w:hAnsi="Times New Roman" w:cs="Times New Roman"/>
          <w:b/>
          <w:bCs/>
          <w:i/>
          <w:iCs/>
          <w:color w:val="auto"/>
        </w:rPr>
        <w:t>saúde</w:t>
      </w:r>
      <w:proofErr w:type="gramEnd"/>
      <w:r w:rsidRPr="003333A9">
        <w:rPr>
          <w:rFonts w:ascii="Times New Roman" w:eastAsiaTheme="minorEastAsia" w:hAnsi="Times New Roman" w:cs="Times New Roman"/>
          <w:b/>
          <w:bCs/>
          <w:i/>
          <w:iCs/>
          <w:color w:val="auto"/>
        </w:rPr>
        <w:t>. Acesso universal e igualitário às ações e serviços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saúde, em todos os níveis. É entendimento pacífico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Supremo Tribunal Federal e deste Órgão Colegiado que 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município pode legislar em caráter supletivo sobre proteção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à saúde, de acordo com o interesse local, art. 24, XII,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CF/88. </w:t>
      </w:r>
      <w:r w:rsidRPr="003333A9">
        <w:rPr>
          <w:rFonts w:ascii="Times New Roman" w:eastAsiaTheme="minorEastAsia" w:hAnsi="Times New Roman" w:cs="Times New Roman"/>
          <w:i/>
          <w:iCs/>
          <w:color w:val="auto"/>
        </w:rPr>
        <w:t>Medidas legais e diretrizes políticas já foram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expedidas com o objetivo de conferir às gestantes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atendimento </w:t>
      </w:r>
      <w:r w:rsidRPr="003333A9">
        <w:rPr>
          <w:rFonts w:ascii="Times New Roman" w:eastAsiaTheme="minorEastAsia" w:hAnsi="Times New Roman" w:cs="Times New Roman"/>
          <w:i/>
          <w:iCs/>
          <w:color w:val="auto"/>
        </w:rPr>
        <w:lastRenderedPageBreak/>
        <w:t>digno, seguro e humanizado, como a Lei Federal</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nº 11.108, de 7-4-2005, e a estratégia do Ministério da Saúde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lançada com esse intuito em 2011, denominada 'Rede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Cegonha'. Em âmbito regional, as Leis Estaduais nº 10.241,</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 17-3-1999, e nº 10.689, de 30-11-2000, possibilitam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acompanhante ao usuário do sistema público de saúde em</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3333A9">
        <w:rPr>
          <w:rFonts w:ascii="Times New Roman" w:eastAsiaTheme="minorEastAsia" w:hAnsi="Times New Roman" w:cs="Times New Roman"/>
          <w:i/>
          <w:iCs/>
          <w:color w:val="auto"/>
        </w:rPr>
        <w:t>consultas</w:t>
      </w:r>
      <w:proofErr w:type="gramEnd"/>
      <w:r w:rsidRPr="003333A9">
        <w:rPr>
          <w:rFonts w:ascii="Times New Roman" w:eastAsiaTheme="minorEastAsia" w:hAnsi="Times New Roman" w:cs="Times New Roman"/>
          <w:i/>
          <w:iCs/>
          <w:color w:val="auto"/>
        </w:rPr>
        <w:t xml:space="preserve"> e internações. 3 - Criação de despesas com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eventual ausência de receitas acarreta, no máximo,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inexequibilidade da norma no mesmo exercício em que foi</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promulgada. 4 </w:t>
      </w:r>
      <w:r w:rsidRPr="003333A9">
        <w:rPr>
          <w:rFonts w:ascii="Times New Roman" w:eastAsiaTheme="minorEastAsia" w:hAnsi="Times New Roman" w:cs="Times New Roman"/>
          <w:b/>
          <w:bCs/>
          <w:i/>
          <w:iCs/>
          <w:color w:val="auto"/>
        </w:rPr>
        <w:t>- Inconstitucionalidade material. Violação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aos princípios da livre concorrência e da livre iniciativa,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razoabilidade e da proporcionalidade.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Embora a medida crie obrigação às instituições privadas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saúde, custear despesas com </w:t>
      </w:r>
      <w:proofErr w:type="spellStart"/>
      <w:r w:rsidRPr="003333A9">
        <w:rPr>
          <w:rFonts w:ascii="Times New Roman" w:eastAsiaTheme="minorEastAsia" w:hAnsi="Times New Roman" w:cs="Times New Roman"/>
          <w:b/>
          <w:bCs/>
          <w:i/>
          <w:iCs/>
          <w:color w:val="auto"/>
        </w:rPr>
        <w:t>paramentação</w:t>
      </w:r>
      <w:proofErr w:type="spellEnd"/>
      <w:r w:rsidRPr="003333A9">
        <w:rPr>
          <w:rFonts w:ascii="Times New Roman" w:eastAsiaTheme="minorEastAsia" w:hAnsi="Times New Roman" w:cs="Times New Roman"/>
          <w:b/>
          <w:bCs/>
          <w:i/>
          <w:iCs/>
          <w:color w:val="auto"/>
        </w:rPr>
        <w:t xml:space="preserve"> não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desproporcional, nem fere a livre iniciativa e a livre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concorrência, pois referida obrigação mostra-se ínfima e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imposta a todos os estabelecimentos hospitalares onde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ocorrem partos</w:t>
      </w:r>
      <w:r w:rsidRPr="003333A9">
        <w:rPr>
          <w:rFonts w:ascii="Times New Roman" w:eastAsiaTheme="minorEastAsia" w:hAnsi="Times New Roman" w:cs="Times New Roman"/>
          <w:i/>
          <w:iCs/>
          <w:color w:val="auto"/>
        </w:rPr>
        <w:t>. Essa questão transpassa critérios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conveniência e oportunidade do administrador em gerir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coisa pública. Foi posta como política de saúde pública a ser</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observada pelos estabelecimentos de saúde mencionados no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art. 1º. Se a instituição não tem condição de oferecer meios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adequados e seguros para que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possam realizar suas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atividades sem risco à parturiente, deve ser apurado no caso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concreto, nos termos do art. 2º: os serviços prestados pelas</w:t>
      </w:r>
      <w:r w:rsidR="003A505D">
        <w:rPr>
          <w:rFonts w:ascii="Times New Roman" w:eastAsiaTheme="minorEastAsia" w:hAnsi="Times New Roman" w:cs="Times New Roman"/>
          <w:i/>
          <w:iCs/>
          <w:color w:val="auto"/>
        </w:rPr>
        <w:t xml:space="preserv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serão autorizados desde que 'condizentes com 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normas de segurança em ambiente hospitalar'. 5 - Contudo, é</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caso de se julgar parcialmente procedente a ação, para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declarar a inconstitucionalidade do art. 5º da Lei nº 5.463,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30-8- 2019, que prevê penalidades em caso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descumprimento, pois violou o interesse local, na medida em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que o sistema legal existente (Lei Federal nº 11.108,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7-4-2005 e Leis Estaduais nº 10.241, de 17-3-1999, e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10.689, de 30-11-2000), ao possibilitar acompanhante ao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usuário do sistema único de saúde, não estabeleceu punição,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sendo vedado ao município criar essa distinção, sob pena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exorbitar a competência suplementar. 6 Ação parcialmente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procedente.” (ADI 2270597-15.2019.8.26.0000, Rel. Des.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Carlos Bueno, 01/07/2020)”.</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2F6292" w:rsidRDefault="003A505D" w:rsidP="003A505D">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3A505D">
        <w:rPr>
          <w:rFonts w:ascii="Times New Roman" w:eastAsiaTheme="minorEastAsia" w:hAnsi="Times New Roman" w:cs="Times New Roman"/>
          <w:color w:val="auto"/>
        </w:rPr>
        <w:t>Por fim, importante mencionar que o Egrégio Tribunal de Justiça do Estado de Minas Gerais também tem decisão recente no sentido de que lei municipa</w:t>
      </w:r>
      <w:r w:rsidR="00FB1C56">
        <w:rPr>
          <w:rFonts w:ascii="Times New Roman" w:eastAsiaTheme="minorEastAsia" w:hAnsi="Times New Roman" w:cs="Times New Roman"/>
          <w:color w:val="auto"/>
        </w:rPr>
        <w:t>l</w:t>
      </w:r>
      <w:r w:rsidRPr="003A505D">
        <w:rPr>
          <w:rFonts w:ascii="Times New Roman" w:eastAsiaTheme="minorEastAsia" w:hAnsi="Times New Roman" w:cs="Times New Roman"/>
          <w:color w:val="auto"/>
        </w:rPr>
        <w:t xml:space="preserve"> que dispõe sobre a </w:t>
      </w:r>
      <w:r w:rsidRPr="003A505D">
        <w:rPr>
          <w:rFonts w:ascii="Times New Roman" w:eastAsiaTheme="minorEastAsia" w:hAnsi="Times New Roman" w:cs="Times New Roman"/>
          <w:color w:val="auto"/>
        </w:rPr>
        <w:lastRenderedPageBreak/>
        <w:t xml:space="preserve">obrigatoriedade de permitir a presença de </w:t>
      </w:r>
      <w:proofErr w:type="spellStart"/>
      <w:r w:rsidRPr="003A505D">
        <w:rPr>
          <w:rFonts w:ascii="Times New Roman" w:eastAsiaTheme="minorEastAsia" w:hAnsi="Times New Roman" w:cs="Times New Roman"/>
          <w:color w:val="auto"/>
        </w:rPr>
        <w:t>doulas</w:t>
      </w:r>
      <w:proofErr w:type="spellEnd"/>
      <w:r w:rsidRPr="003A505D">
        <w:rPr>
          <w:rFonts w:ascii="Times New Roman" w:eastAsiaTheme="minorEastAsia" w:hAnsi="Times New Roman" w:cs="Times New Roman"/>
          <w:color w:val="auto"/>
        </w:rPr>
        <w:t xml:space="preserve"> durante todo o período de trabalho de parto, parto e pós-parto imediato</w:t>
      </w:r>
      <w:r w:rsidR="00725387">
        <w:rPr>
          <w:rFonts w:ascii="Times New Roman" w:eastAsiaTheme="minorEastAsia" w:hAnsi="Times New Roman" w:cs="Times New Roman"/>
          <w:color w:val="auto"/>
        </w:rPr>
        <w:t>, deve ser respeitada.</w:t>
      </w:r>
    </w:p>
    <w:p w:rsidR="003333A9" w:rsidRDefault="002F6292" w:rsidP="002F629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Embora a decisão não se refira espe</w:t>
      </w:r>
      <w:r w:rsidR="0053750F">
        <w:rPr>
          <w:rFonts w:ascii="Times New Roman" w:eastAsiaTheme="minorEastAsia" w:hAnsi="Times New Roman" w:cs="Times New Roman"/>
          <w:color w:val="auto"/>
        </w:rPr>
        <w:t>cificamente aos profissionais fisioterapeutas pélvicas</w:t>
      </w:r>
      <w:r>
        <w:rPr>
          <w:rFonts w:ascii="Times New Roman" w:eastAsiaTheme="minorEastAsia" w:hAnsi="Times New Roman" w:cs="Times New Roman"/>
          <w:color w:val="auto"/>
        </w:rPr>
        <w:t xml:space="preserve">, aplica-se a mesma lógica jurídica. </w:t>
      </w:r>
      <w:r w:rsidR="00725387">
        <w:rPr>
          <w:rFonts w:ascii="Times New Roman" w:eastAsiaTheme="minorEastAsia" w:hAnsi="Times New Roman" w:cs="Times New Roman"/>
          <w:color w:val="auto"/>
        </w:rPr>
        <w:t>Veja-se a seguinte ementa:</w:t>
      </w:r>
    </w:p>
    <w:p w:rsidR="00725387" w:rsidRDefault="00725387" w:rsidP="003A505D">
      <w:pPr>
        <w:autoSpaceDE w:val="0"/>
        <w:autoSpaceDN w:val="0"/>
        <w:adjustRightInd w:val="0"/>
        <w:spacing w:after="0" w:line="360" w:lineRule="auto"/>
        <w:jc w:val="both"/>
        <w:rPr>
          <w:rFonts w:ascii="Times New Roman" w:eastAsiaTheme="minorEastAsia" w:hAnsi="Times New Roman" w:cs="Times New Roman"/>
          <w:color w:val="auto"/>
        </w:rPr>
      </w:pP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387">
        <w:rPr>
          <w:rFonts w:ascii="Times New Roman" w:eastAsiaTheme="minorEastAsia" w:hAnsi="Times New Roman" w:cs="Times New Roman"/>
          <w:i/>
          <w:color w:val="auto"/>
        </w:rPr>
        <w:t xml:space="preserve">AGRAVO DE INSTRUMENTO - TUTELA PROVISÓRIA - ACOMPANHAMENTO POR DOULA - HOSPITAL PRIVADO - CABIMENTO. Nos termos do art. 300 do Código de Processo Civil, a tutela de urgência deve ser deferida quando comprovada a existência de elementos que evidenciem a probabilidade do direito, bem como o perigo de dano ou risco ao resultado útil do processo. </w:t>
      </w:r>
      <w:r w:rsidRPr="00725387">
        <w:rPr>
          <w:rFonts w:ascii="Times New Roman" w:eastAsiaTheme="minorEastAsia" w:hAnsi="Times New Roman" w:cs="Times New Roman"/>
          <w:b/>
          <w:i/>
          <w:color w:val="auto"/>
          <w:u w:val="single"/>
        </w:rPr>
        <w:t xml:space="preserve">A Lei de nº 6.829/2017 do município de Governador Valadares dispõe que as maternidades e os estabelecimentos de saúde da rede municipal ou hospitais privados, contratados por ela, ficam obrigados a permitir a presença de </w:t>
      </w:r>
      <w:proofErr w:type="spellStart"/>
      <w:r w:rsidRPr="00725387">
        <w:rPr>
          <w:rFonts w:ascii="Times New Roman" w:eastAsiaTheme="minorEastAsia" w:hAnsi="Times New Roman" w:cs="Times New Roman"/>
          <w:b/>
          <w:i/>
          <w:color w:val="auto"/>
          <w:u w:val="single"/>
        </w:rPr>
        <w:t>doulas</w:t>
      </w:r>
      <w:proofErr w:type="spellEnd"/>
      <w:r w:rsidRPr="00725387">
        <w:rPr>
          <w:rFonts w:ascii="Times New Roman" w:eastAsiaTheme="minorEastAsia" w:hAnsi="Times New Roman" w:cs="Times New Roman"/>
          <w:b/>
          <w:i/>
          <w:color w:val="auto"/>
          <w:u w:val="single"/>
        </w:rPr>
        <w:t xml:space="preserve"> durante todo o período de trabalho de parto, parto e pós-parto imediato, bem como nas consultas e exames de pré-natal, sempre que solicitadas pela parturiente; norma essa que também se aplica, por analogia, aos hospitais privados. Deve ser garantido à parturiente o acompanhamento pela </w:t>
      </w:r>
      <w:proofErr w:type="spellStart"/>
      <w:r w:rsidRPr="00725387">
        <w:rPr>
          <w:rFonts w:ascii="Times New Roman" w:eastAsiaTheme="minorEastAsia" w:hAnsi="Times New Roman" w:cs="Times New Roman"/>
          <w:b/>
          <w:i/>
          <w:color w:val="auto"/>
          <w:u w:val="single"/>
        </w:rPr>
        <w:t>doula</w:t>
      </w:r>
      <w:proofErr w:type="spellEnd"/>
      <w:r w:rsidRPr="00725387">
        <w:rPr>
          <w:rFonts w:ascii="Times New Roman" w:eastAsiaTheme="minorEastAsia" w:hAnsi="Times New Roman" w:cs="Times New Roman"/>
          <w:b/>
          <w:i/>
          <w:color w:val="auto"/>
          <w:u w:val="single"/>
        </w:rPr>
        <w:t xml:space="preserve"> de sua confiança. </w:t>
      </w: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25387">
        <w:rPr>
          <w:rFonts w:ascii="Times New Roman" w:eastAsiaTheme="minorEastAsia" w:hAnsi="Times New Roman" w:cs="Times New Roman"/>
          <w:i/>
          <w:color w:val="auto"/>
        </w:rPr>
        <w:t>AGRAVO DE INSTRUMENTO-CV Nº 1.0000.21.277202-4/001 – COMARCA DE GOVERNADOR VALADARES - AGRAVANTE(S): UNIMED GOVERNADOR VALADARES - AGRAVADO(A)(S): CLAUDIA MARIA BARROSO CAETANO NEVES.</w:t>
      </w:r>
    </w:p>
    <w:p w:rsidR="00725387" w:rsidRDefault="00725387" w:rsidP="0053750F">
      <w:pPr>
        <w:pStyle w:val="NormalWeb"/>
        <w:spacing w:line="360" w:lineRule="auto"/>
        <w:jc w:val="both"/>
        <w:rPr>
          <w:rFonts w:eastAsiaTheme="minorEastAsia"/>
          <w:sz w:val="22"/>
          <w:szCs w:val="22"/>
        </w:rPr>
      </w:pPr>
      <w:r>
        <w:rPr>
          <w:rFonts w:eastAsiaTheme="minorEastAsia"/>
        </w:rPr>
        <w:tab/>
      </w:r>
      <w:r w:rsidRPr="00725387">
        <w:rPr>
          <w:rFonts w:eastAsiaTheme="minorEastAsia"/>
          <w:sz w:val="22"/>
          <w:szCs w:val="22"/>
        </w:rPr>
        <w:t>Diante de tudo o exposto, não se vislumbra no presente projeto nenhuma ilegalidade ou inconstitucionalidade apta a macular sua regular tramitação.</w:t>
      </w:r>
    </w:p>
    <w:p w:rsidR="00725666" w:rsidRDefault="00635D64" w:rsidP="00635D64">
      <w:pPr>
        <w:pStyle w:val="NormalWeb"/>
        <w:spacing w:line="360" w:lineRule="auto"/>
        <w:jc w:val="both"/>
        <w:rPr>
          <w:sz w:val="22"/>
          <w:szCs w:val="22"/>
          <w:u w:val="single"/>
        </w:rPr>
      </w:pPr>
      <w:r>
        <w:rPr>
          <w:rFonts w:eastAsiaTheme="minorEastAsia"/>
        </w:rPr>
        <w:tab/>
      </w:r>
      <w:r w:rsidRPr="00B1087D">
        <w:rPr>
          <w:sz w:val="22"/>
          <w:szCs w:val="22"/>
          <w:u w:val="single"/>
        </w:rPr>
        <w:t>Insta registrar que este parecer se refere exclusivamente aos aspectos legais e constitucionais, sendo que a questão de mérito político, quanto à conveniência e oportunidade, cabe única e exclusivamente ao Douto Plenário desta Casa de Leis.</w:t>
      </w:r>
    </w:p>
    <w:p w:rsidR="00AE138E" w:rsidRDefault="00AE138E" w:rsidP="00635D64">
      <w:pPr>
        <w:pStyle w:val="NormalWeb"/>
        <w:spacing w:line="360" w:lineRule="auto"/>
        <w:jc w:val="both"/>
        <w:rPr>
          <w:sz w:val="22"/>
          <w:szCs w:val="22"/>
          <w:u w:val="single"/>
        </w:rPr>
      </w:pPr>
    </w:p>
    <w:p w:rsidR="00635D64" w:rsidRPr="008C42A6" w:rsidRDefault="00635D64" w:rsidP="00635D64">
      <w:pPr>
        <w:pStyle w:val="NormalWeb"/>
        <w:spacing w:line="360" w:lineRule="auto"/>
        <w:jc w:val="both"/>
        <w:rPr>
          <w:b/>
          <w:sz w:val="22"/>
          <w:szCs w:val="22"/>
        </w:rPr>
      </w:pPr>
      <w:r w:rsidRPr="008C42A6">
        <w:rPr>
          <w:b/>
          <w:sz w:val="22"/>
          <w:szCs w:val="22"/>
        </w:rPr>
        <w:t>QUÓRUM</w:t>
      </w:r>
    </w:p>
    <w:p w:rsidR="00635D64" w:rsidRPr="008C42A6" w:rsidRDefault="00635D64" w:rsidP="00635D64">
      <w:pPr>
        <w:pStyle w:val="Corpodetexto"/>
        <w:spacing w:line="360" w:lineRule="auto"/>
        <w:ind w:left="140" w:right="143" w:firstLine="706"/>
        <w:jc w:val="both"/>
        <w:rPr>
          <w:sz w:val="22"/>
          <w:szCs w:val="22"/>
        </w:rPr>
      </w:pPr>
      <w:r w:rsidRPr="008C42A6">
        <w:rPr>
          <w:sz w:val="22"/>
          <w:szCs w:val="22"/>
        </w:rPr>
        <w:t xml:space="preserve">Cabe esclarecer que para a sua aprovação é exigido quórum de maioria de votos, desde que presentes mais da metade dos membros da Câmara, nos termos do artigo 53 da Lei </w:t>
      </w:r>
      <w:r w:rsidRPr="008C42A6">
        <w:rPr>
          <w:sz w:val="22"/>
          <w:szCs w:val="22"/>
        </w:rPr>
        <w:lastRenderedPageBreak/>
        <w:t>Orgânica Municipal e artigo 56, inciso III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E85D34">
        <w:rPr>
          <w:rFonts w:ascii="Times New Roman" w:eastAsia="Times New Roman" w:hAnsi="Times New Roman" w:cs="Times New Roman"/>
          <w:b/>
        </w:rPr>
        <w:t>8.089</w:t>
      </w:r>
      <w:bookmarkStart w:id="5" w:name="_GoBack"/>
      <w:bookmarkEnd w:id="5"/>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w:t>
      </w:r>
      <w:r w:rsidR="001D3C8F" w:rsidRPr="00725387">
        <w:rPr>
          <w:rFonts w:ascii="Times New Roman" w:eastAsia="Times New Roman" w:hAnsi="Times New Roman" w:cs="Times New Roman"/>
        </w:rPr>
        <w:t>a</w:t>
      </w:r>
      <w:r w:rsidR="00725387" w:rsidRPr="00725387">
        <w:rPr>
          <w:rFonts w:ascii="Times New Roman" w:eastAsia="Times New Roman" w:hAnsi="Times New Roman" w:cs="Times New Roman"/>
          <w:b/>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F5" w:rsidRDefault="006235F5">
      <w:pPr>
        <w:spacing w:after="0" w:line="240" w:lineRule="auto"/>
      </w:pPr>
      <w:r>
        <w:separator/>
      </w:r>
    </w:p>
  </w:endnote>
  <w:endnote w:type="continuationSeparator" w:id="0">
    <w:p w:rsidR="006235F5" w:rsidRDefault="0062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Pr="00E01C57" w:rsidRDefault="00AC5AA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E85D34">
      <w:rPr>
        <w:rFonts w:ascii="Times New Roman" w:hAnsi="Times New Roman" w:cs="Times New Roman"/>
        <w:noProof/>
        <w:sz w:val="20"/>
      </w:rPr>
      <w:t>8</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AC5AAF" w:rsidRDefault="00AC5AA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F5" w:rsidRDefault="006235F5">
      <w:pPr>
        <w:spacing w:after="0" w:line="240" w:lineRule="auto"/>
      </w:pPr>
      <w:r>
        <w:separator/>
      </w:r>
    </w:p>
  </w:footnote>
  <w:footnote w:type="continuationSeparator" w:id="0">
    <w:p w:rsidR="006235F5" w:rsidRDefault="006235F5">
      <w:pPr>
        <w:spacing w:after="0" w:line="240" w:lineRule="auto"/>
      </w:pPr>
      <w:r>
        <w:continuationSeparator/>
      </w:r>
    </w:p>
  </w:footnote>
  <w:footnote w:id="1">
    <w:p w:rsidR="00AC5AAF" w:rsidRDefault="00AC5AAF" w:rsidP="00635D64">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AC5AAF" w:rsidRDefault="00AC5AAF" w:rsidP="00635D64">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62666"/>
    <w:rsid w:val="000729BE"/>
    <w:rsid w:val="00093406"/>
    <w:rsid w:val="000A7EEE"/>
    <w:rsid w:val="000E3B6A"/>
    <w:rsid w:val="00106BD7"/>
    <w:rsid w:val="00114B7C"/>
    <w:rsid w:val="001160A1"/>
    <w:rsid w:val="00120353"/>
    <w:rsid w:val="00137739"/>
    <w:rsid w:val="00152A96"/>
    <w:rsid w:val="00175379"/>
    <w:rsid w:val="0017608F"/>
    <w:rsid w:val="00182310"/>
    <w:rsid w:val="00185EB3"/>
    <w:rsid w:val="00193BD1"/>
    <w:rsid w:val="001B77CF"/>
    <w:rsid w:val="001D3C8F"/>
    <w:rsid w:val="001D5B26"/>
    <w:rsid w:val="001E4836"/>
    <w:rsid w:val="00211F7D"/>
    <w:rsid w:val="00223F90"/>
    <w:rsid w:val="002413B7"/>
    <w:rsid w:val="00277132"/>
    <w:rsid w:val="0028476A"/>
    <w:rsid w:val="00293C63"/>
    <w:rsid w:val="002A0AE8"/>
    <w:rsid w:val="002A64CB"/>
    <w:rsid w:val="002B4697"/>
    <w:rsid w:val="002C3C8F"/>
    <w:rsid w:val="002D7377"/>
    <w:rsid w:val="002E6940"/>
    <w:rsid w:val="002F1E44"/>
    <w:rsid w:val="002F5142"/>
    <w:rsid w:val="002F6292"/>
    <w:rsid w:val="00300B8B"/>
    <w:rsid w:val="00302637"/>
    <w:rsid w:val="003036C1"/>
    <w:rsid w:val="00303D91"/>
    <w:rsid w:val="003317EA"/>
    <w:rsid w:val="003333A9"/>
    <w:rsid w:val="00347DCD"/>
    <w:rsid w:val="00351B92"/>
    <w:rsid w:val="0035541B"/>
    <w:rsid w:val="00363137"/>
    <w:rsid w:val="00364F24"/>
    <w:rsid w:val="003748C0"/>
    <w:rsid w:val="00377E4A"/>
    <w:rsid w:val="00397EFF"/>
    <w:rsid w:val="003A505D"/>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3750F"/>
    <w:rsid w:val="0054459C"/>
    <w:rsid w:val="00544899"/>
    <w:rsid w:val="00555476"/>
    <w:rsid w:val="005767B2"/>
    <w:rsid w:val="005B37BD"/>
    <w:rsid w:val="005D6F7A"/>
    <w:rsid w:val="005E215D"/>
    <w:rsid w:val="0060338C"/>
    <w:rsid w:val="006235F5"/>
    <w:rsid w:val="00631846"/>
    <w:rsid w:val="00634A1C"/>
    <w:rsid w:val="00635D64"/>
    <w:rsid w:val="006374B0"/>
    <w:rsid w:val="00643353"/>
    <w:rsid w:val="00662250"/>
    <w:rsid w:val="0067789C"/>
    <w:rsid w:val="006802B2"/>
    <w:rsid w:val="00684D78"/>
    <w:rsid w:val="006A57FD"/>
    <w:rsid w:val="006B730A"/>
    <w:rsid w:val="006E76F4"/>
    <w:rsid w:val="006F2FCF"/>
    <w:rsid w:val="00703316"/>
    <w:rsid w:val="0070431F"/>
    <w:rsid w:val="00717E5B"/>
    <w:rsid w:val="0072352B"/>
    <w:rsid w:val="00725387"/>
    <w:rsid w:val="00725666"/>
    <w:rsid w:val="00744BB3"/>
    <w:rsid w:val="0074734A"/>
    <w:rsid w:val="0079503B"/>
    <w:rsid w:val="00796B90"/>
    <w:rsid w:val="007C5BBA"/>
    <w:rsid w:val="007D60EB"/>
    <w:rsid w:val="00800467"/>
    <w:rsid w:val="00800581"/>
    <w:rsid w:val="008125A7"/>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1257D"/>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C5AAF"/>
    <w:rsid w:val="00AD2D44"/>
    <w:rsid w:val="00AE138E"/>
    <w:rsid w:val="00B00A55"/>
    <w:rsid w:val="00B0349A"/>
    <w:rsid w:val="00B6493D"/>
    <w:rsid w:val="00B73A04"/>
    <w:rsid w:val="00B75C3A"/>
    <w:rsid w:val="00BA0BA2"/>
    <w:rsid w:val="00BA4608"/>
    <w:rsid w:val="00BA5F57"/>
    <w:rsid w:val="00BB1D8D"/>
    <w:rsid w:val="00BD2C4D"/>
    <w:rsid w:val="00C20846"/>
    <w:rsid w:val="00C366D8"/>
    <w:rsid w:val="00C86D82"/>
    <w:rsid w:val="00CA00DF"/>
    <w:rsid w:val="00CA2017"/>
    <w:rsid w:val="00CE6996"/>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5D34"/>
    <w:rsid w:val="00E869A9"/>
    <w:rsid w:val="00E96477"/>
    <w:rsid w:val="00EB1615"/>
    <w:rsid w:val="00EB5DE2"/>
    <w:rsid w:val="00EC56DA"/>
    <w:rsid w:val="00EE762E"/>
    <w:rsid w:val="00EE7917"/>
    <w:rsid w:val="00EF38E3"/>
    <w:rsid w:val="00F04752"/>
    <w:rsid w:val="00F115F6"/>
    <w:rsid w:val="00F13305"/>
    <w:rsid w:val="00F36628"/>
    <w:rsid w:val="00F733B8"/>
    <w:rsid w:val="00F81213"/>
    <w:rsid w:val="00F8132A"/>
    <w:rsid w:val="00F857BF"/>
    <w:rsid w:val="00F97624"/>
    <w:rsid w:val="00FA003C"/>
    <w:rsid w:val="00FB0C87"/>
    <w:rsid w:val="00FB1C56"/>
    <w:rsid w:val="00FB7EFC"/>
    <w:rsid w:val="00FC56EB"/>
    <w:rsid w:val="00FD0284"/>
    <w:rsid w:val="00FD0D60"/>
    <w:rsid w:val="00FE4336"/>
    <w:rsid w:val="00FE58A0"/>
    <w:rsid w:val="00FF3DEC"/>
    <w:rsid w:val="00FF4138"/>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716">
      <w:bodyDiv w:val="1"/>
      <w:marLeft w:val="0"/>
      <w:marRight w:val="0"/>
      <w:marTop w:val="0"/>
      <w:marBottom w:val="0"/>
      <w:divBdr>
        <w:top w:val="none" w:sz="0" w:space="0" w:color="auto"/>
        <w:left w:val="none" w:sz="0" w:space="0" w:color="auto"/>
        <w:bottom w:val="none" w:sz="0" w:space="0" w:color="auto"/>
        <w:right w:val="none" w:sz="0" w:space="0" w:color="auto"/>
      </w:divBdr>
    </w:div>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4191-8DEB-420E-BE1C-AD516083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8</Pages>
  <Words>2356</Words>
  <Characters>12724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68</cp:revision>
  <cp:lastPrinted>2024-11-14T20:47:00Z</cp:lastPrinted>
  <dcterms:created xsi:type="dcterms:W3CDTF">2024-05-06T18:04:00Z</dcterms:created>
  <dcterms:modified xsi:type="dcterms:W3CDTF">2025-06-10T19:26:00Z</dcterms:modified>
</cp:coreProperties>
</file>