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limpeza das ruas e dos terrenos do patrimônio público, além da notificação dos proprietários dos terrenos baldios, em toda a extensão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da sujeira e do mato alto dos terrenos particulares e dos terrenos do patrimônio público, o que vem ocasionando o aparecimento de animais peçonhentos, causando perigo e insegurança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