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Default="002D7377" w:rsidP="00BA4608">
      <w:pPr>
        <w:spacing w:after="0" w:line="360" w:lineRule="auto"/>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Pr="00BA4608" w:rsidRDefault="00FC61FA" w:rsidP="00BA4608">
      <w:pPr>
        <w:spacing w:after="0" w:line="360" w:lineRule="auto"/>
        <w:rPr>
          <w:rFonts w:ascii="Times New Roman" w:hAnsi="Times New Roman" w:cs="Times New Roman"/>
        </w:rPr>
      </w:pP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795F13">
        <w:rPr>
          <w:rFonts w:ascii="Times New Roman" w:eastAsia="Times New Roman" w:hAnsi="Times New Roman" w:cs="Times New Roman"/>
          <w:b/>
        </w:rPr>
        <w:t>16</w:t>
      </w:r>
      <w:r w:rsidR="00AF2B0A">
        <w:rPr>
          <w:rFonts w:ascii="Times New Roman" w:eastAsia="Times New Roman" w:hAnsi="Times New Roman" w:cs="Times New Roman"/>
          <w:b/>
        </w:rPr>
        <w:t xml:space="preserve"> </w:t>
      </w:r>
      <w:r w:rsidR="0046334F">
        <w:rPr>
          <w:rFonts w:ascii="Times New Roman" w:eastAsia="Times New Roman" w:hAnsi="Times New Roman" w:cs="Times New Roman"/>
          <w:b/>
        </w:rPr>
        <w:t>de maio</w:t>
      </w:r>
      <w:r w:rsidR="00185EB3">
        <w:rPr>
          <w:rFonts w:ascii="Times New Roman" w:eastAsia="Times New Roman" w:hAnsi="Times New Roman" w:cs="Times New Roman"/>
          <w:b/>
        </w:rPr>
        <w:t xml:space="preserve"> de 2025</w:t>
      </w:r>
    </w:p>
    <w:p w:rsidR="002D7377" w:rsidRDefault="002D7377" w:rsidP="00BA4608">
      <w:pPr>
        <w:spacing w:after="0" w:line="360" w:lineRule="auto"/>
        <w:ind w:left="35"/>
        <w:jc w:val="center"/>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Default="00FC61FA" w:rsidP="00BA4608">
      <w:pPr>
        <w:spacing w:after="0" w:line="360" w:lineRule="auto"/>
        <w:ind w:left="35"/>
        <w:jc w:val="center"/>
        <w:rPr>
          <w:rFonts w:ascii="Times New Roman" w:eastAsia="Times New Roman" w:hAnsi="Times New Roman" w:cs="Times New Roman"/>
          <w:b/>
        </w:rPr>
      </w:pPr>
    </w:p>
    <w:p w:rsidR="00FC61FA" w:rsidRPr="00BA4608" w:rsidRDefault="00FC61FA" w:rsidP="00BA4608">
      <w:pPr>
        <w:spacing w:after="0" w:line="360" w:lineRule="auto"/>
        <w:ind w:left="35"/>
        <w:jc w:val="center"/>
        <w:rPr>
          <w:rFonts w:ascii="Times New Roman" w:hAnsi="Times New Roman" w:cs="Times New Roman"/>
        </w:rPr>
      </w:pP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795F13" w:rsidRPr="00795F13" w:rsidRDefault="002D7377" w:rsidP="00795F13">
      <w:pPr>
        <w:spacing w:line="360" w:lineRule="auto"/>
        <w:ind w:firstLine="709"/>
        <w:jc w:val="both"/>
        <w:rPr>
          <w:rFonts w:ascii="Times New Roman" w:hAnsi="Times New Roman" w:cs="Times New Roman"/>
          <w:sz w:val="20"/>
        </w:rPr>
      </w:pPr>
      <w:r w:rsidRPr="0046334F">
        <w:rPr>
          <w:rFonts w:ascii="Times New Roman" w:eastAsia="Times New Roman" w:hAnsi="Times New Roman" w:cs="Times New Roman"/>
          <w:b/>
        </w:rPr>
        <w:t xml:space="preserve"> </w:t>
      </w:r>
      <w:r w:rsidRPr="00795F13">
        <w:rPr>
          <w:rFonts w:ascii="Times New Roman" w:eastAsia="Times New Roman" w:hAnsi="Times New Roman" w:cs="Times New Roman"/>
        </w:rPr>
        <w:t>Nos termos do artigo 79 e seguintes</w:t>
      </w:r>
      <w:r w:rsidR="00BA4608" w:rsidRPr="00795F13">
        <w:rPr>
          <w:rFonts w:ascii="Times New Roman" w:eastAsia="Times New Roman" w:hAnsi="Times New Roman" w:cs="Times New Roman"/>
        </w:rPr>
        <w:t>,</w:t>
      </w:r>
      <w:r w:rsidRPr="00795F13">
        <w:rPr>
          <w:rFonts w:ascii="Times New Roman" w:eastAsia="Times New Roman" w:hAnsi="Times New Roman" w:cs="Times New Roman"/>
        </w:rPr>
        <w:t xml:space="preserve"> do Regimento Interno d</w:t>
      </w:r>
      <w:r w:rsidR="00BA4608" w:rsidRPr="00795F13">
        <w:rPr>
          <w:rFonts w:ascii="Times New Roman" w:eastAsia="Times New Roman" w:hAnsi="Times New Roman" w:cs="Times New Roman"/>
        </w:rPr>
        <w:t>a Câmara Municipal</w:t>
      </w:r>
      <w:r w:rsidRPr="00795F13">
        <w:rPr>
          <w:rFonts w:ascii="Times New Roman" w:eastAsia="Times New Roman" w:hAnsi="Times New Roman" w:cs="Times New Roman"/>
        </w:rPr>
        <w:t xml:space="preserve">, passamos a analisar os aspectos legais do </w:t>
      </w:r>
      <w:r w:rsidR="00DD5F3F" w:rsidRPr="00795F13">
        <w:rPr>
          <w:rFonts w:ascii="Times New Roman" w:eastAsia="Times New Roman" w:hAnsi="Times New Roman" w:cs="Times New Roman"/>
          <w:b/>
        </w:rPr>
        <w:t xml:space="preserve">Projeto de Lei n° </w:t>
      </w:r>
      <w:r w:rsidR="00795F13" w:rsidRPr="00795F13">
        <w:rPr>
          <w:rFonts w:ascii="Times New Roman" w:eastAsia="Times New Roman" w:hAnsi="Times New Roman" w:cs="Times New Roman"/>
          <w:b/>
        </w:rPr>
        <w:t>8.049</w:t>
      </w:r>
      <w:r w:rsidR="00A625F0" w:rsidRPr="00795F13">
        <w:rPr>
          <w:rFonts w:ascii="Times New Roman" w:eastAsia="Times New Roman" w:hAnsi="Times New Roman" w:cs="Times New Roman"/>
          <w:b/>
        </w:rPr>
        <w:t>/2025</w:t>
      </w:r>
      <w:r w:rsidRPr="00795F13">
        <w:rPr>
          <w:rFonts w:ascii="Times New Roman" w:eastAsia="Times New Roman" w:hAnsi="Times New Roman" w:cs="Times New Roman"/>
        </w:rPr>
        <w:t xml:space="preserve">, de </w:t>
      </w:r>
      <w:r w:rsidRPr="00795F13">
        <w:rPr>
          <w:rFonts w:ascii="Times New Roman" w:eastAsia="Times New Roman" w:hAnsi="Times New Roman" w:cs="Times New Roman"/>
          <w:b/>
        </w:rPr>
        <w:t xml:space="preserve">autoria </w:t>
      </w:r>
      <w:r w:rsidR="00300B8B" w:rsidRPr="00795F13">
        <w:rPr>
          <w:rFonts w:ascii="Times New Roman" w:eastAsia="Times New Roman" w:hAnsi="Times New Roman" w:cs="Times New Roman"/>
          <w:b/>
        </w:rPr>
        <w:t xml:space="preserve">do Vereador </w:t>
      </w:r>
      <w:r w:rsidR="0046334F" w:rsidRPr="00795F13">
        <w:rPr>
          <w:rFonts w:ascii="Times New Roman" w:eastAsia="Times New Roman" w:hAnsi="Times New Roman" w:cs="Times New Roman"/>
          <w:b/>
        </w:rPr>
        <w:t>Fred Coutinho</w:t>
      </w:r>
      <w:r w:rsidRPr="00795F13">
        <w:rPr>
          <w:rFonts w:ascii="Times New Roman" w:hAnsi="Times New Roman" w:cs="Times New Roman"/>
        </w:rPr>
        <w:t xml:space="preserve">, </w:t>
      </w:r>
      <w:r w:rsidRPr="00795F13">
        <w:rPr>
          <w:rFonts w:ascii="Times New Roman" w:eastAsia="Times New Roman" w:hAnsi="Times New Roman" w:cs="Times New Roman"/>
        </w:rPr>
        <w:t xml:space="preserve">que </w:t>
      </w:r>
      <w:r w:rsidR="00795F13" w:rsidRPr="00795F13">
        <w:rPr>
          <w:rFonts w:ascii="Times New Roman" w:hAnsi="Times New Roman" w:cs="Times New Roman"/>
          <w:b/>
        </w:rPr>
        <w:t>“DISPÕE SOBRE O COMBATE À INTOLERÂNCIA RELIGIOSA NO ÂMBITO DO MUNICÍPIO DE POUSO ALEGRE E DÁ OUTRAS PROVIDÊNCIAS.”</w:t>
      </w:r>
      <w:r w:rsidR="00795F13" w:rsidRPr="00795F13">
        <w:rPr>
          <w:rFonts w:ascii="Times New Roman" w:hAnsi="Times New Roman" w:cs="Times New Roman"/>
        </w:rPr>
        <w:t>.</w:t>
      </w:r>
    </w:p>
    <w:p w:rsidR="0046334F" w:rsidRPr="0046334F" w:rsidRDefault="0046334F" w:rsidP="0046334F">
      <w:pPr>
        <w:spacing w:line="360" w:lineRule="auto"/>
        <w:ind w:firstLine="708"/>
        <w:jc w:val="both"/>
        <w:rPr>
          <w:rFonts w:ascii="Times New Roman" w:hAnsi="Times New Roman" w:cs="Times New Roman"/>
        </w:rPr>
      </w:pP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795F13" w:rsidRDefault="00114B7C" w:rsidP="00795F13">
      <w:pPr>
        <w:ind w:right="-1"/>
        <w:jc w:val="both"/>
        <w:rPr>
          <w:rFonts w:ascii="Times New Roman" w:hAnsi="Times New Roman" w:cs="Times New Roman"/>
        </w:rPr>
      </w:pPr>
      <w:r>
        <w:rPr>
          <w:rFonts w:ascii="Times New Roman" w:hAnsi="Times New Roman" w:cs="Times New Roman"/>
          <w:b/>
        </w:rPr>
        <w:t>“</w:t>
      </w:r>
      <w:r w:rsidR="00795F13" w:rsidRPr="009E4A71">
        <w:rPr>
          <w:rFonts w:ascii="Times New Roman" w:hAnsi="Times New Roman" w:cs="Times New Roman"/>
          <w:b/>
        </w:rPr>
        <w:t>Art. 1º</w:t>
      </w:r>
      <w:r w:rsidR="00795F13">
        <w:rPr>
          <w:rFonts w:ascii="Times New Roman" w:hAnsi="Times New Roman" w:cs="Times New Roman"/>
        </w:rPr>
        <w:t xml:space="preserve"> Esta Lei tem por objetivo coibir e punir práticas de intolerância religiosa no Município de Pouso Alegre, promovendo o respeito à liberdade de crença, à pluralidade religiosa, bem como </w:t>
      </w:r>
      <w:proofErr w:type="spellStart"/>
      <w:r w:rsidR="00795F13">
        <w:rPr>
          <w:rFonts w:ascii="Times New Roman" w:hAnsi="Times New Roman" w:cs="Times New Roman"/>
        </w:rPr>
        <w:t>aos</w:t>
      </w:r>
      <w:proofErr w:type="spellEnd"/>
      <w:r w:rsidR="00795F13">
        <w:rPr>
          <w:rFonts w:ascii="Times New Roman" w:hAnsi="Times New Roman" w:cs="Times New Roman"/>
        </w:rPr>
        <w:t xml:space="preserve"> símbolos, atos, objetos, liturgias e práticas religiosas de todas as tradições, com destaque ao respeito aos princípios cristãos, conforme os fundamentos da Constituição Federal.</w:t>
      </w:r>
    </w:p>
    <w:p w:rsidR="00795F13" w:rsidRDefault="00795F13" w:rsidP="00795F13">
      <w:pPr>
        <w:ind w:right="-1"/>
        <w:jc w:val="both"/>
        <w:rPr>
          <w:rFonts w:ascii="Times New Roman" w:hAnsi="Times New Roman" w:cs="Times New Roman"/>
        </w:rPr>
      </w:pPr>
      <w:r w:rsidRPr="009E4A71">
        <w:rPr>
          <w:rFonts w:ascii="Times New Roman" w:hAnsi="Times New Roman" w:cs="Times New Roman"/>
          <w:b/>
        </w:rPr>
        <w:t>Art. 2º</w:t>
      </w:r>
      <w:r>
        <w:rPr>
          <w:rFonts w:ascii="Times New Roman" w:hAnsi="Times New Roman" w:cs="Times New Roman"/>
        </w:rPr>
        <w:t xml:space="preserve"> Para os fins desta Lei, considera-se:</w:t>
      </w:r>
    </w:p>
    <w:p w:rsidR="00795F13" w:rsidRDefault="00795F13" w:rsidP="00795F13">
      <w:pPr>
        <w:ind w:right="-1"/>
        <w:jc w:val="both"/>
        <w:rPr>
          <w:rFonts w:ascii="Times New Roman" w:hAnsi="Times New Roman" w:cs="Times New Roman"/>
        </w:rPr>
      </w:pPr>
      <w:r>
        <w:rPr>
          <w:rFonts w:ascii="Times New Roman" w:hAnsi="Times New Roman" w:cs="Times New Roman"/>
        </w:rPr>
        <w:t>I – intolerância religiosa: todo ato de discriminação, escárnio, agressão verbal ou física, perturbação, impedimento de cerimônias religiosas ou vilipêndio de símbolos, atos ou objetos religiosos, questões históricas com o objetivo de desrespeitar ou atacar crenças religiosas ou a ausência de crença;</w:t>
      </w:r>
    </w:p>
    <w:p w:rsidR="00795F13" w:rsidRDefault="00795F13" w:rsidP="00795F13">
      <w:pPr>
        <w:ind w:right="-1"/>
        <w:jc w:val="both"/>
        <w:rPr>
          <w:rFonts w:ascii="Times New Roman" w:hAnsi="Times New Roman" w:cs="Times New Roman"/>
        </w:rPr>
      </w:pPr>
      <w:r>
        <w:rPr>
          <w:rFonts w:ascii="Times New Roman" w:hAnsi="Times New Roman" w:cs="Times New Roman"/>
        </w:rPr>
        <w:t>II – vilipêndio religioso: o ato de desrespeitar publicamente, profanar ou ofender símbolos, objetos, cerimônias ou práticas religiosas;</w:t>
      </w:r>
    </w:p>
    <w:p w:rsidR="00795F13" w:rsidRDefault="00795F13" w:rsidP="00795F13">
      <w:pPr>
        <w:ind w:right="-1"/>
        <w:jc w:val="both"/>
        <w:rPr>
          <w:rFonts w:ascii="Times New Roman" w:hAnsi="Times New Roman" w:cs="Times New Roman"/>
        </w:rPr>
      </w:pPr>
      <w:r>
        <w:rPr>
          <w:rFonts w:ascii="Times New Roman" w:hAnsi="Times New Roman" w:cs="Times New Roman"/>
        </w:rPr>
        <w:t>III – símbolo religioso: qualquer objeto, figura, sinal ou elemento que representa uma fé ou espiritualidade, sendo considerado sagrado por seus praticantes;</w:t>
      </w:r>
    </w:p>
    <w:p w:rsidR="00795F13" w:rsidRDefault="00795F13" w:rsidP="00795F13">
      <w:pPr>
        <w:ind w:right="-1"/>
        <w:jc w:val="both"/>
        <w:rPr>
          <w:rFonts w:ascii="Times New Roman" w:hAnsi="Times New Roman" w:cs="Times New Roman"/>
        </w:rPr>
      </w:pPr>
      <w:r>
        <w:rPr>
          <w:rFonts w:ascii="Times New Roman" w:hAnsi="Times New Roman" w:cs="Times New Roman"/>
        </w:rPr>
        <w:t>IV – liturgia religiosa: o conjunto de rituais, orações, cânticos, práticas e celebrações realizadas por uma comunidade de fé.</w:t>
      </w:r>
    </w:p>
    <w:p w:rsidR="00795F13" w:rsidRDefault="00795F13" w:rsidP="00795F13">
      <w:pPr>
        <w:ind w:right="-1"/>
        <w:jc w:val="both"/>
        <w:rPr>
          <w:rFonts w:ascii="Times New Roman" w:hAnsi="Times New Roman" w:cs="Times New Roman"/>
        </w:rPr>
      </w:pPr>
      <w:r w:rsidRPr="009E4A71">
        <w:rPr>
          <w:rFonts w:ascii="Times New Roman" w:hAnsi="Times New Roman" w:cs="Times New Roman"/>
          <w:b/>
        </w:rPr>
        <w:t>Art. 3º</w:t>
      </w:r>
      <w:r>
        <w:rPr>
          <w:rFonts w:ascii="Times New Roman" w:hAnsi="Times New Roman" w:cs="Times New Roman"/>
        </w:rPr>
        <w:t xml:space="preserve"> Ficam proibidas no âmbito do Município de Pouso Alegre as seguintes condutas:</w:t>
      </w:r>
    </w:p>
    <w:p w:rsidR="00795F13" w:rsidRDefault="00795F13" w:rsidP="00795F13">
      <w:pPr>
        <w:ind w:right="-1"/>
        <w:jc w:val="both"/>
        <w:rPr>
          <w:rFonts w:ascii="Times New Roman" w:hAnsi="Times New Roman" w:cs="Times New Roman"/>
        </w:rPr>
      </w:pPr>
      <w:r>
        <w:rPr>
          <w:rFonts w:ascii="Times New Roman" w:hAnsi="Times New Roman" w:cs="Times New Roman"/>
        </w:rPr>
        <w:lastRenderedPageBreak/>
        <w:t>I – escarnecer, ridicularizar ou humilhar, de forma pública, qualquer pessoa ou grupo por motivo de sua crença religiosa, prática de fé ou ausência dela;</w:t>
      </w:r>
    </w:p>
    <w:p w:rsidR="00795F13" w:rsidRDefault="00795F13" w:rsidP="00795F13">
      <w:pPr>
        <w:ind w:right="-1"/>
        <w:jc w:val="both"/>
        <w:rPr>
          <w:rFonts w:ascii="Times New Roman" w:hAnsi="Times New Roman" w:cs="Times New Roman"/>
        </w:rPr>
      </w:pPr>
      <w:r>
        <w:rPr>
          <w:rFonts w:ascii="Times New Roman" w:hAnsi="Times New Roman" w:cs="Times New Roman"/>
        </w:rPr>
        <w:t>II – impedir ou perturbar cerimônias, cultos, pregações ou práticas religiosas em templos ou espaços públicos autorizados;</w:t>
      </w:r>
    </w:p>
    <w:p w:rsidR="00795F13" w:rsidRDefault="00795F13" w:rsidP="00795F13">
      <w:pPr>
        <w:ind w:right="-1"/>
        <w:jc w:val="both"/>
        <w:rPr>
          <w:rFonts w:ascii="Times New Roman" w:hAnsi="Times New Roman" w:cs="Times New Roman"/>
        </w:rPr>
      </w:pPr>
      <w:r>
        <w:rPr>
          <w:rFonts w:ascii="Times New Roman" w:hAnsi="Times New Roman" w:cs="Times New Roman"/>
        </w:rPr>
        <w:t>III – vilipendiar, danificar ou destruir objetos, templos, imagens ou símbolos religiosos;</w:t>
      </w:r>
    </w:p>
    <w:p w:rsidR="00795F13" w:rsidRDefault="00795F13" w:rsidP="00795F13">
      <w:pPr>
        <w:ind w:right="-1"/>
        <w:jc w:val="both"/>
        <w:rPr>
          <w:rFonts w:ascii="Times New Roman" w:hAnsi="Times New Roman" w:cs="Times New Roman"/>
        </w:rPr>
      </w:pPr>
      <w:r>
        <w:rPr>
          <w:rFonts w:ascii="Times New Roman" w:hAnsi="Times New Roman" w:cs="Times New Roman"/>
        </w:rPr>
        <w:t>IV – impor censura ideológica ou institucional à manifestação de fé no ambiente escolar, público ou comunitário, exceto nos limites da Constituição.</w:t>
      </w:r>
    </w:p>
    <w:p w:rsidR="00795F13" w:rsidRDefault="00795F13" w:rsidP="00795F13">
      <w:pPr>
        <w:ind w:right="-1"/>
        <w:jc w:val="both"/>
        <w:rPr>
          <w:rFonts w:ascii="Times New Roman" w:hAnsi="Times New Roman" w:cs="Times New Roman"/>
        </w:rPr>
      </w:pPr>
      <w:r w:rsidRPr="009E4A71">
        <w:rPr>
          <w:rFonts w:ascii="Times New Roman" w:hAnsi="Times New Roman" w:cs="Times New Roman"/>
          <w:b/>
        </w:rPr>
        <w:t>Art. 4º</w:t>
      </w:r>
      <w:r>
        <w:rPr>
          <w:rFonts w:ascii="Times New Roman" w:hAnsi="Times New Roman" w:cs="Times New Roman"/>
        </w:rPr>
        <w:t xml:space="preserve"> O descumprimento desta Lei sujeitará os infratores às seguintes penalidades administrativas, sem prejuízo de outras sanções cabíveis:</w:t>
      </w:r>
    </w:p>
    <w:p w:rsidR="00795F13" w:rsidRDefault="00795F13" w:rsidP="00795F13">
      <w:pPr>
        <w:ind w:right="-1"/>
        <w:jc w:val="both"/>
        <w:rPr>
          <w:rFonts w:ascii="Times New Roman" w:hAnsi="Times New Roman" w:cs="Times New Roman"/>
        </w:rPr>
      </w:pPr>
      <w:r>
        <w:rPr>
          <w:rFonts w:ascii="Times New Roman" w:hAnsi="Times New Roman" w:cs="Times New Roman"/>
        </w:rPr>
        <w:t>I - multa no valor de:</w:t>
      </w:r>
    </w:p>
    <w:p w:rsidR="00795F13" w:rsidRDefault="00795F13" w:rsidP="00795F13">
      <w:pPr>
        <w:ind w:right="-1"/>
        <w:jc w:val="both"/>
        <w:rPr>
          <w:rFonts w:ascii="Times New Roman" w:hAnsi="Times New Roman" w:cs="Times New Roman"/>
        </w:rPr>
      </w:pPr>
      <w:r>
        <w:rPr>
          <w:rFonts w:ascii="Times New Roman" w:hAnsi="Times New Roman" w:cs="Times New Roman"/>
        </w:rPr>
        <w:t>a) R$ 2.000,00 (dois mil reais) para pessoa física;</w:t>
      </w:r>
    </w:p>
    <w:p w:rsidR="00795F13" w:rsidRDefault="00795F13" w:rsidP="00795F13">
      <w:pPr>
        <w:ind w:right="-1"/>
        <w:jc w:val="both"/>
        <w:rPr>
          <w:rFonts w:ascii="Times New Roman" w:hAnsi="Times New Roman" w:cs="Times New Roman"/>
        </w:rPr>
      </w:pPr>
      <w:r>
        <w:rPr>
          <w:rFonts w:ascii="Times New Roman" w:hAnsi="Times New Roman" w:cs="Times New Roman"/>
        </w:rPr>
        <w:t>b) R$ 10.000,00 (dez mil reais) para pessoa jurídica;</w:t>
      </w:r>
    </w:p>
    <w:p w:rsidR="00795F13" w:rsidRDefault="00795F13" w:rsidP="00795F13">
      <w:pPr>
        <w:ind w:right="-1"/>
        <w:jc w:val="both"/>
        <w:rPr>
          <w:rFonts w:ascii="Times New Roman" w:hAnsi="Times New Roman" w:cs="Times New Roman"/>
        </w:rPr>
      </w:pPr>
      <w:r>
        <w:rPr>
          <w:rFonts w:ascii="Times New Roman" w:hAnsi="Times New Roman" w:cs="Times New Roman"/>
        </w:rPr>
        <w:t>II - em caso de reincidência, a multa será dobrada, podendo chegar a R$ 4.000,00 (quatro mil reais) para pessoas físicas e R$ 20.000,00 (vinte mil reais) para pessoas jurídicas.</w:t>
      </w:r>
    </w:p>
    <w:p w:rsidR="00795F13" w:rsidRDefault="00795F13" w:rsidP="00795F13">
      <w:pPr>
        <w:ind w:right="-1"/>
        <w:jc w:val="both"/>
        <w:rPr>
          <w:rFonts w:ascii="Times New Roman" w:hAnsi="Times New Roman" w:cs="Times New Roman"/>
        </w:rPr>
      </w:pPr>
      <w:r w:rsidRPr="009E4A71">
        <w:rPr>
          <w:rFonts w:ascii="Times New Roman" w:hAnsi="Times New Roman" w:cs="Times New Roman"/>
          <w:b/>
        </w:rPr>
        <w:t>Parágrafo único</w:t>
      </w:r>
      <w:r>
        <w:rPr>
          <w:rFonts w:ascii="Times New Roman" w:hAnsi="Times New Roman" w:cs="Times New Roman"/>
        </w:rPr>
        <w:t>. Os valores arrecadados com as multas deverão ser destinados a ações de orientação nas escolas municipais contra a intolerância religiosa.</w:t>
      </w:r>
    </w:p>
    <w:p w:rsidR="00795F13" w:rsidRDefault="00795F13" w:rsidP="00795F13">
      <w:pPr>
        <w:ind w:right="-1"/>
        <w:jc w:val="both"/>
        <w:rPr>
          <w:rFonts w:ascii="Times New Roman" w:hAnsi="Times New Roman" w:cs="Times New Roman"/>
        </w:rPr>
      </w:pPr>
      <w:r w:rsidRPr="009E4A71">
        <w:rPr>
          <w:rFonts w:ascii="Times New Roman" w:hAnsi="Times New Roman" w:cs="Times New Roman"/>
          <w:b/>
        </w:rPr>
        <w:t>Art. 5º</w:t>
      </w:r>
      <w:r>
        <w:rPr>
          <w:rFonts w:ascii="Times New Roman" w:hAnsi="Times New Roman" w:cs="Times New Roman"/>
        </w:rPr>
        <w:t xml:space="preserve"> A fiscalização e o recebimento de denúncias sobre intolerância religiosa serão realizados exclusivamente por órgãos competentes da administração pública municipal.</w:t>
      </w:r>
    </w:p>
    <w:p w:rsidR="002D7377" w:rsidRDefault="00795F13" w:rsidP="00795F13">
      <w:pPr>
        <w:ind w:right="-1"/>
        <w:jc w:val="both"/>
        <w:rPr>
          <w:rFonts w:ascii="Times New Roman" w:hAnsi="Times New Roman" w:cs="Times New Roman"/>
        </w:rPr>
      </w:pPr>
      <w:r w:rsidRPr="009E4A71">
        <w:rPr>
          <w:rFonts w:ascii="Times New Roman" w:hAnsi="Times New Roman" w:cs="Times New Roman"/>
          <w:b/>
        </w:rPr>
        <w:t>Art. 6º</w:t>
      </w:r>
      <w:r>
        <w:rPr>
          <w:rFonts w:ascii="Times New Roman" w:hAnsi="Times New Roman" w:cs="Times New Roman"/>
        </w:rPr>
        <w:t xml:space="preserve"> Esta Lei entra em vigor na data de sua publicação.</w:t>
      </w:r>
      <w:r w:rsidR="006D5F4B">
        <w:rPr>
          <w:rFonts w:ascii="Times New Roman" w:hAnsi="Times New Roman" w:cs="Times New Roman"/>
        </w:rPr>
        <w:t>”</w:t>
      </w:r>
      <w:r w:rsidR="00114B7C" w:rsidRPr="008F11B8">
        <w:rPr>
          <w:rFonts w:ascii="Times New Roman" w:hAnsi="Times New Roman" w:cs="Times New Roman"/>
        </w:rPr>
        <w:t xml:space="preserve"> </w:t>
      </w:r>
    </w:p>
    <w:p w:rsidR="00921278" w:rsidRDefault="00921278" w:rsidP="00EE7917">
      <w:pPr>
        <w:pStyle w:val="Ttulo1"/>
        <w:spacing w:after="0" w:line="360" w:lineRule="auto"/>
        <w:rPr>
          <w:sz w:val="22"/>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lastRenderedPageBreak/>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w:t>
      </w:r>
      <w:r w:rsidR="0046334F">
        <w:rPr>
          <w:rFonts w:ascii="Times New Roman" w:eastAsiaTheme="minorEastAsia" w:hAnsi="Times New Roman" w:cs="Times New Roman"/>
          <w:color w:val="auto"/>
        </w:rPr>
        <w:t xml:space="preserve"> parlamentar</w:t>
      </w:r>
      <w:r>
        <w:rPr>
          <w:rFonts w:ascii="Times New Roman" w:eastAsiaTheme="minorEastAsia" w:hAnsi="Times New Roman" w:cs="Times New Roman"/>
          <w:color w:val="auto"/>
        </w:rPr>
        <w:t>,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Quanto à melhor forma de se interpretar esse dispositivo normativo, importante destacar que segundo Supremo Tribunal 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em nenhum de seus incisos previsão de iniciativa privativa do Prefeito para projetos de lei que disponham sobre</w:t>
      </w:r>
      <w:r w:rsidR="00C7514B">
        <w:rPr>
          <w:rFonts w:ascii="Times New Roman" w:eastAsiaTheme="minorEastAsia" w:hAnsi="Times New Roman" w:cs="Times New Roman"/>
          <w:color w:val="auto"/>
        </w:rPr>
        <w:t xml:space="preserve"> </w:t>
      </w:r>
      <w:r w:rsidR="00795F13">
        <w:rPr>
          <w:rFonts w:ascii="Times New Roman" w:eastAsiaTheme="minorEastAsia" w:hAnsi="Times New Roman" w:cs="Times New Roman"/>
          <w:color w:val="auto"/>
        </w:rPr>
        <w:t xml:space="preserve">combate à intolerância religiosa. </w:t>
      </w:r>
    </w:p>
    <w:p w:rsidR="006D5F4B" w:rsidRDefault="00744BB3" w:rsidP="00E33F03">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8D553B">
        <w:rPr>
          <w:rFonts w:ascii="Times New Roman" w:eastAsiaTheme="minorEastAsia" w:hAnsi="Times New Roman" w:cs="Times New Roman"/>
          <w:color w:val="auto"/>
        </w:rPr>
        <w:t>Desta forma</w:t>
      </w:r>
      <w:r>
        <w:rPr>
          <w:rFonts w:ascii="Times New Roman" w:eastAsiaTheme="minorEastAsia" w:hAnsi="Times New Roman" w:cs="Times New Roman"/>
          <w:color w:val="auto"/>
        </w:rPr>
        <w:t xml:space="preserve">, não há impedimento aos nobres vereadores de iniciaram o processo legislativo, a fim de dispor sobre normas </w:t>
      </w:r>
      <w:r w:rsidR="008D553B">
        <w:rPr>
          <w:rFonts w:ascii="Times New Roman" w:eastAsiaTheme="minorEastAsia" w:hAnsi="Times New Roman" w:cs="Times New Roman"/>
          <w:color w:val="auto"/>
        </w:rPr>
        <w:t xml:space="preserve">que tratam do referido assunto. </w:t>
      </w:r>
      <w:r w:rsidR="0046334F">
        <w:rPr>
          <w:rFonts w:ascii="Times New Roman" w:eastAsiaTheme="minorEastAsia" w:hAnsi="Times New Roman" w:cs="Times New Roman"/>
          <w:color w:val="auto"/>
        </w:rPr>
        <w:t>O Projeto de Lei em análise,</w:t>
      </w:r>
      <w:r>
        <w:rPr>
          <w:rFonts w:ascii="Times New Roman" w:eastAsiaTheme="minorEastAsia" w:hAnsi="Times New Roman" w:cs="Times New Roman"/>
          <w:color w:val="auto"/>
        </w:rPr>
        <w:t xml:space="preserve"> de iniciativa do Poder legislativo</w:t>
      </w:r>
      <w:r w:rsidR="0046334F">
        <w:rPr>
          <w:rFonts w:ascii="Times New Roman" w:eastAsiaTheme="minorEastAsia" w:hAnsi="Times New Roman" w:cs="Times New Roman"/>
          <w:color w:val="auto"/>
        </w:rPr>
        <w:t>, não interfere</w:t>
      </w:r>
      <w:r w:rsidR="00E33F03">
        <w:rPr>
          <w:rFonts w:ascii="Times New Roman" w:eastAsiaTheme="minorEastAsia" w:hAnsi="Times New Roman" w:cs="Times New Roman"/>
          <w:color w:val="auto"/>
        </w:rPr>
        <w:t xml:space="preserve"> na estruturação nem cria</w:t>
      </w:r>
      <w:r>
        <w:rPr>
          <w:rFonts w:ascii="Times New Roman" w:eastAsiaTheme="minorEastAsia" w:hAnsi="Times New Roman" w:cs="Times New Roman"/>
          <w:color w:val="auto"/>
        </w:rPr>
        <w:t xml:space="preserve"> novas atribuições aos órgãos da Administração Pú</w:t>
      </w:r>
      <w:r w:rsidR="00B73A04">
        <w:rPr>
          <w:rFonts w:ascii="Times New Roman" w:eastAsiaTheme="minorEastAsia" w:hAnsi="Times New Roman" w:cs="Times New Roman"/>
          <w:color w:val="auto"/>
        </w:rPr>
        <w:t>blica,</w:t>
      </w:r>
      <w:r w:rsidR="00E33F03">
        <w:rPr>
          <w:rFonts w:ascii="Times New Roman" w:eastAsiaTheme="minorEastAsia" w:hAnsi="Times New Roman" w:cs="Times New Roman"/>
          <w:color w:val="auto"/>
        </w:rPr>
        <w:t xml:space="preserve"> não sendo possível cogitar de ser o caso de iniciativa privativa do chefe do Poder Executivo.</w:t>
      </w:r>
      <w:r w:rsidR="00B73A04">
        <w:rPr>
          <w:rFonts w:ascii="Times New Roman" w:eastAsiaTheme="minorEastAsia" w:hAnsi="Times New Roman" w:cs="Times New Roman"/>
          <w:color w:val="auto"/>
        </w:rPr>
        <w:t xml:space="preserve"> </w:t>
      </w:r>
    </w:p>
    <w:p w:rsidR="00795F13" w:rsidRDefault="00795F13" w:rsidP="00795F13">
      <w:pPr>
        <w:pStyle w:val="NormalWeb"/>
        <w:shd w:val="clear" w:color="auto" w:fill="FFFFFF"/>
        <w:spacing w:before="0" w:beforeAutospacing="0" w:after="0" w:afterAutospacing="0" w:line="360" w:lineRule="auto"/>
        <w:ind w:firstLine="708"/>
        <w:contextualSpacing/>
        <w:jc w:val="both"/>
        <w:rPr>
          <w:sz w:val="22"/>
          <w:szCs w:val="22"/>
        </w:rPr>
      </w:pPr>
      <w:r>
        <w:rPr>
          <w:sz w:val="22"/>
          <w:szCs w:val="22"/>
        </w:rPr>
        <w:t xml:space="preserve">Quanto à competência, os incisos I e II do art. 30 da Constituição Federal sustentam que compete ao município: I - </w:t>
      </w:r>
      <w:r w:rsidRPr="00826831">
        <w:rPr>
          <w:sz w:val="22"/>
          <w:szCs w:val="22"/>
        </w:rPr>
        <w:t>legislar so</w:t>
      </w:r>
      <w:r>
        <w:rPr>
          <w:sz w:val="22"/>
          <w:szCs w:val="22"/>
        </w:rPr>
        <w:t xml:space="preserve">bre assuntos de interesse local e; </w:t>
      </w:r>
      <w:r w:rsidRPr="00826831">
        <w:rPr>
          <w:sz w:val="22"/>
          <w:szCs w:val="22"/>
        </w:rPr>
        <w:t>I</w:t>
      </w:r>
      <w:r>
        <w:rPr>
          <w:sz w:val="22"/>
          <w:szCs w:val="22"/>
        </w:rPr>
        <w:t>I –</w:t>
      </w:r>
      <w:r w:rsidRPr="00826831">
        <w:rPr>
          <w:sz w:val="22"/>
          <w:szCs w:val="22"/>
        </w:rPr>
        <w:t xml:space="preserve"> </w:t>
      </w:r>
      <w:r>
        <w:rPr>
          <w:sz w:val="22"/>
          <w:szCs w:val="22"/>
        </w:rPr>
        <w:t>suplementar legislação federal e estadual no que couber</w:t>
      </w:r>
      <w:r w:rsidRPr="00826831">
        <w:rPr>
          <w:sz w:val="22"/>
          <w:szCs w:val="22"/>
        </w:rPr>
        <w:t>.</w:t>
      </w:r>
    </w:p>
    <w:p w:rsidR="00795F13" w:rsidRPr="00684D42" w:rsidRDefault="00795F13" w:rsidP="00795F13">
      <w:pPr>
        <w:pStyle w:val="NormalWeb"/>
        <w:shd w:val="clear" w:color="auto" w:fill="FFFFFF"/>
        <w:spacing w:before="0" w:beforeAutospacing="0" w:after="0" w:afterAutospacing="0" w:line="360" w:lineRule="auto"/>
        <w:contextualSpacing/>
        <w:jc w:val="both"/>
        <w:rPr>
          <w:sz w:val="22"/>
          <w:szCs w:val="22"/>
        </w:rPr>
      </w:pPr>
    </w:p>
    <w:p w:rsidR="00795F13" w:rsidRDefault="00795F13" w:rsidP="00795F13">
      <w:pPr>
        <w:autoSpaceDE w:val="0"/>
        <w:autoSpaceDN w:val="0"/>
        <w:adjustRightInd w:val="0"/>
        <w:spacing w:line="360" w:lineRule="auto"/>
        <w:jc w:val="both"/>
        <w:rPr>
          <w:rFonts w:ascii="Times New Roman" w:hAnsi="Times New Roman" w:cs="Times New Roman"/>
          <w:b/>
          <w:i/>
        </w:rPr>
      </w:pPr>
      <w:r w:rsidRPr="00684D42">
        <w:lastRenderedPageBreak/>
        <w:tab/>
      </w:r>
      <w:r w:rsidRPr="00795F13">
        <w:rPr>
          <w:rFonts w:ascii="Times New Roman" w:hAnsi="Times New Roman" w:cs="Times New Roman"/>
        </w:rPr>
        <w:t>A Lei Orgânica do Município de Pouso Alegre no inciso V do artigo 19</w:t>
      </w:r>
      <w:r>
        <w:rPr>
          <w:rFonts w:ascii="Times New Roman" w:hAnsi="Times New Roman" w:cs="Times New Roman"/>
        </w:rPr>
        <w:t xml:space="preserve"> estabelece</w:t>
      </w:r>
      <w:r w:rsidRPr="00795F13">
        <w:rPr>
          <w:rFonts w:ascii="Times New Roman" w:hAnsi="Times New Roman" w:cs="Times New Roman"/>
        </w:rPr>
        <w:t xml:space="preserve"> que compete ao município </w:t>
      </w:r>
      <w:r w:rsidRPr="00795F13">
        <w:rPr>
          <w:rFonts w:ascii="Times New Roman" w:hAnsi="Times New Roman" w:cs="Times New Roman"/>
          <w:b/>
          <w:i/>
          <w:u w:val="single"/>
        </w:rPr>
        <w:t>difundir a consciência dos direitos individuais e sociais</w:t>
      </w:r>
      <w:r w:rsidRPr="00795F13">
        <w:rPr>
          <w:rFonts w:ascii="Times New Roman" w:hAnsi="Times New Roman" w:cs="Times New Roman"/>
        </w:rPr>
        <w:t xml:space="preserve">. Já seu Art. 20 expressa: </w:t>
      </w:r>
      <w:r w:rsidRPr="00795F13">
        <w:rPr>
          <w:rFonts w:ascii="Times New Roman" w:hAnsi="Times New Roman" w:cs="Times New Roman"/>
          <w:b/>
          <w:i/>
          <w:u w:val="single"/>
        </w:rPr>
        <w:t>Ao Município compete suplementar a legislação federal e estadual, no que couber</w:t>
      </w:r>
      <w:r w:rsidRPr="00795F13">
        <w:rPr>
          <w:rFonts w:ascii="Times New Roman" w:hAnsi="Times New Roman" w:cs="Times New Roman"/>
          <w:b/>
          <w:i/>
        </w:rPr>
        <w:t>.</w:t>
      </w:r>
    </w:p>
    <w:p w:rsidR="00795F13" w:rsidRDefault="00795F13" w:rsidP="00795F13">
      <w:pPr>
        <w:autoSpaceDE w:val="0"/>
        <w:autoSpaceDN w:val="0"/>
        <w:adjustRightInd w:val="0"/>
        <w:spacing w:line="360" w:lineRule="auto"/>
        <w:jc w:val="both"/>
        <w:rPr>
          <w:rFonts w:ascii="Times New Roman" w:hAnsi="Times New Roman" w:cs="Times New Roman"/>
        </w:rPr>
      </w:pPr>
      <w:r>
        <w:rPr>
          <w:rFonts w:ascii="Times New Roman" w:hAnsi="Times New Roman" w:cs="Times New Roman"/>
          <w:b/>
          <w:i/>
        </w:rPr>
        <w:tab/>
      </w:r>
      <w:r>
        <w:rPr>
          <w:rFonts w:ascii="Times New Roman" w:hAnsi="Times New Roman" w:cs="Times New Roman"/>
        </w:rPr>
        <w:t xml:space="preserve">O tema em análise não consta do rol do artigo 22 da Constituição Federal, que </w:t>
      </w:r>
      <w:r w:rsidR="002A6237">
        <w:rPr>
          <w:rFonts w:ascii="Times New Roman" w:hAnsi="Times New Roman" w:cs="Times New Roman"/>
        </w:rPr>
        <w:t xml:space="preserve">traz as matérias cuja competência legislativa seja privativa da União. Ademais, tal matéria também não consta do artigo 24 do mencionado diploma normativo, eu estabelece os assuntos cuja competência legislativa seja concorrente entre União, Estados e Distrito Federal. </w:t>
      </w:r>
    </w:p>
    <w:p w:rsidR="002A6237" w:rsidRDefault="002A6237" w:rsidP="002A6237">
      <w:pPr>
        <w:autoSpaceDE w:val="0"/>
        <w:autoSpaceDN w:val="0"/>
        <w:adjustRightInd w:val="0"/>
        <w:spacing w:line="360" w:lineRule="auto"/>
        <w:ind w:firstLine="708"/>
        <w:jc w:val="both"/>
        <w:rPr>
          <w:rFonts w:ascii="Times New Roman" w:hAnsi="Times New Roman" w:cs="Times New Roman"/>
        </w:rPr>
      </w:pPr>
      <w:r>
        <w:rPr>
          <w:rFonts w:ascii="Times New Roman" w:hAnsi="Times New Roman" w:cs="Times New Roman"/>
        </w:rPr>
        <w:t>Isso porque, a proteção de direitos fundamentais compete de forma indistinta a todos os entes da federação, seja por meio de medidas legislativas ou administrativas.</w:t>
      </w:r>
    </w:p>
    <w:p w:rsidR="002A6237" w:rsidRDefault="002A6237" w:rsidP="00795F13">
      <w:pPr>
        <w:autoSpaceDE w:val="0"/>
        <w:autoSpaceDN w:val="0"/>
        <w:adjustRightInd w:val="0"/>
        <w:spacing w:line="360" w:lineRule="auto"/>
        <w:jc w:val="both"/>
        <w:rPr>
          <w:rFonts w:ascii="Times New Roman" w:hAnsi="Times New Roman" w:cs="Times New Roman"/>
          <w:b/>
          <w:i/>
          <w:u w:val="single"/>
          <w:shd w:val="clear" w:color="auto" w:fill="FFFFFF"/>
        </w:rPr>
      </w:pPr>
      <w:r>
        <w:rPr>
          <w:rFonts w:ascii="Times New Roman" w:hAnsi="Times New Roman" w:cs="Times New Roman"/>
        </w:rPr>
        <w:tab/>
      </w:r>
      <w:r w:rsidRPr="002A6237">
        <w:rPr>
          <w:rFonts w:ascii="Times New Roman" w:hAnsi="Times New Roman" w:cs="Times New Roman"/>
        </w:rPr>
        <w:t>Conforme se consta</w:t>
      </w:r>
      <w:r>
        <w:rPr>
          <w:rFonts w:ascii="Times New Roman" w:hAnsi="Times New Roman" w:cs="Times New Roman"/>
        </w:rPr>
        <w:t>ta</w:t>
      </w:r>
      <w:r w:rsidRPr="002A6237">
        <w:rPr>
          <w:rFonts w:ascii="Times New Roman" w:hAnsi="Times New Roman" w:cs="Times New Roman"/>
        </w:rPr>
        <w:t xml:space="preserve"> da leitura do inciso </w:t>
      </w:r>
      <w:r w:rsidRPr="002A6237">
        <w:rPr>
          <w:rFonts w:ascii="Times New Roman" w:hAnsi="Times New Roman" w:cs="Times New Roman"/>
          <w:shd w:val="clear" w:color="auto" w:fill="FFFFFF"/>
        </w:rPr>
        <w:t xml:space="preserve">VI do artigo 5ºda Constituição Federal </w:t>
      </w:r>
      <w:r w:rsidRPr="002A6237">
        <w:rPr>
          <w:rFonts w:ascii="Times New Roman" w:hAnsi="Times New Roman" w:cs="Times New Roman"/>
          <w:b/>
          <w:i/>
          <w:u w:val="single"/>
          <w:shd w:val="clear" w:color="auto" w:fill="FFFFFF"/>
        </w:rPr>
        <w:t>“é inviolável a liberdade de consciência e de crença, sendo assegurado o livre exercício dos cultos religiosos e garantida, na forma da lei, a proteção aos locais de culto e a suas liturgias”.</w:t>
      </w:r>
    </w:p>
    <w:p w:rsidR="00075BD1" w:rsidRDefault="00075BD1" w:rsidP="00075BD1">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 Constituição assegura, assim, como direito individual, protegido por cláusula pétrea, a liberdade religiosa e a liberdade de crença. Conforme destaca o Professor Bernardo Gonçalves,</w:t>
      </w:r>
    </w:p>
    <w:p w:rsidR="00075BD1" w:rsidRDefault="00075BD1" w:rsidP="00075BD1">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075BD1" w:rsidRDefault="00075BD1" w:rsidP="00075BD1">
      <w:pPr>
        <w:autoSpaceDE w:val="0"/>
        <w:autoSpaceDN w:val="0"/>
        <w:adjustRightInd w:val="0"/>
        <w:spacing w:after="0" w:line="360" w:lineRule="auto"/>
        <w:ind w:left="2268" w:firstLine="709"/>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 xml:space="preserve">A liberdade religiosa pode ser dividida em duas dimensões: a) Dimensão interna (fórum </w:t>
      </w:r>
      <w:proofErr w:type="spellStart"/>
      <w:r>
        <w:rPr>
          <w:rFonts w:ascii="Times New Roman" w:eastAsiaTheme="minorEastAsia" w:hAnsi="Times New Roman" w:cs="Times New Roman"/>
          <w:i/>
          <w:color w:val="auto"/>
        </w:rPr>
        <w:t>internum</w:t>
      </w:r>
      <w:proofErr w:type="spellEnd"/>
      <w:r>
        <w:rPr>
          <w:rFonts w:ascii="Times New Roman" w:eastAsiaTheme="minorEastAsia" w:hAnsi="Times New Roman" w:cs="Times New Roman"/>
          <w:i/>
          <w:color w:val="auto"/>
        </w:rPr>
        <w:t xml:space="preserve">): consiste na liberdade espiritual íntima de formar a sua crença, a sua ideologia ou a sua consciência; b) Dimensão externa (fórum </w:t>
      </w:r>
      <w:proofErr w:type="spellStart"/>
      <w:r>
        <w:rPr>
          <w:rFonts w:ascii="Times New Roman" w:eastAsiaTheme="minorEastAsia" w:hAnsi="Times New Roman" w:cs="Times New Roman"/>
          <w:i/>
          <w:color w:val="auto"/>
        </w:rPr>
        <w:t>externum</w:t>
      </w:r>
      <w:proofErr w:type="spellEnd"/>
      <w:r>
        <w:rPr>
          <w:rFonts w:ascii="Times New Roman" w:eastAsiaTheme="minorEastAsia" w:hAnsi="Times New Roman" w:cs="Times New Roman"/>
          <w:i/>
          <w:color w:val="auto"/>
        </w:rPr>
        <w:t>): diz respeito mais propriamente à liberdade de confissão e à liberdade de culto.</w:t>
      </w:r>
    </w:p>
    <w:p w:rsidR="00075BD1" w:rsidRDefault="00075BD1" w:rsidP="00075BD1">
      <w:pPr>
        <w:autoSpaceDE w:val="0"/>
        <w:autoSpaceDN w:val="0"/>
        <w:adjustRightInd w:val="0"/>
        <w:spacing w:after="0" w:line="360" w:lineRule="auto"/>
        <w:ind w:left="2268" w:firstLine="709"/>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A liberdade de crença é o direito de um indivíduo adotar ou não uma religião sem ser prejudicado (inclusive o de não adotar nenhuma religião).</w:t>
      </w:r>
    </w:p>
    <w:p w:rsidR="00075BD1" w:rsidRDefault="00075BD1" w:rsidP="00075BD1">
      <w:pPr>
        <w:autoSpaceDE w:val="0"/>
        <w:autoSpaceDN w:val="0"/>
        <w:adjustRightInd w:val="0"/>
        <w:spacing w:after="0" w:line="360" w:lineRule="auto"/>
        <w:ind w:left="2268" w:firstLine="709"/>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075BD1" w:rsidRDefault="00075BD1" w:rsidP="00075BD1">
      <w:pPr>
        <w:autoSpaceDE w:val="0"/>
        <w:autoSpaceDN w:val="0"/>
        <w:adjustRightInd w:val="0"/>
        <w:spacing w:after="0" w:line="360" w:lineRule="auto"/>
        <w:ind w:left="2268" w:firstLine="709"/>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A liberdade de crença diferencia-se da liberdade de culto. Esse é o direito, individual ou coletivo, de praticar atos externos de louvação próprios de uma determinada religião</w:t>
      </w:r>
      <w:r>
        <w:rPr>
          <w:rStyle w:val="Refdenotaderodap"/>
          <w:rFonts w:ascii="Times New Roman" w:eastAsiaTheme="minorEastAsia" w:hAnsi="Times New Roman" w:cs="Times New Roman"/>
          <w:i/>
          <w:color w:val="auto"/>
        </w:rPr>
        <w:footnoteReference w:id="3"/>
      </w:r>
      <w:r>
        <w:rPr>
          <w:rFonts w:ascii="Times New Roman" w:eastAsiaTheme="minorEastAsia" w:hAnsi="Times New Roman" w:cs="Times New Roman"/>
          <w:i/>
          <w:color w:val="auto"/>
        </w:rPr>
        <w:t>.</w:t>
      </w:r>
    </w:p>
    <w:p w:rsidR="002A6237" w:rsidRPr="002A6237" w:rsidRDefault="00075BD1" w:rsidP="00795F13">
      <w:pPr>
        <w:autoSpaceDE w:val="0"/>
        <w:autoSpaceDN w:val="0"/>
        <w:adjustRightInd w:val="0"/>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795F13" w:rsidRDefault="00795F13" w:rsidP="00E33F03">
      <w:pPr>
        <w:autoSpaceDE w:val="0"/>
        <w:autoSpaceDN w:val="0"/>
        <w:adjustRightInd w:val="0"/>
        <w:spacing w:after="0" w:line="360" w:lineRule="auto"/>
        <w:jc w:val="both"/>
        <w:rPr>
          <w:rFonts w:ascii="Times New Roman" w:eastAsiaTheme="minorEastAsia" w:hAnsi="Times New Roman" w:cs="Times New Roman"/>
          <w:color w:val="auto"/>
        </w:rPr>
      </w:pPr>
    </w:p>
    <w:p w:rsidR="00795F13" w:rsidRDefault="00795F13" w:rsidP="00E33F03">
      <w:pPr>
        <w:autoSpaceDE w:val="0"/>
        <w:autoSpaceDN w:val="0"/>
        <w:adjustRightInd w:val="0"/>
        <w:spacing w:after="0" w:line="360" w:lineRule="auto"/>
        <w:jc w:val="both"/>
        <w:rPr>
          <w:rFonts w:ascii="Times New Roman" w:eastAsiaTheme="minorEastAsia" w:hAnsi="Times New Roman" w:cs="Times New Roman"/>
          <w:color w:val="auto"/>
        </w:rPr>
      </w:pPr>
    </w:p>
    <w:p w:rsidR="00795F13" w:rsidRPr="008D553B" w:rsidRDefault="00795F13" w:rsidP="00E33F03">
      <w:pPr>
        <w:autoSpaceDE w:val="0"/>
        <w:autoSpaceDN w:val="0"/>
        <w:adjustRightInd w:val="0"/>
        <w:spacing w:after="0" w:line="360" w:lineRule="auto"/>
        <w:jc w:val="both"/>
        <w:rPr>
          <w:rFonts w:ascii="Times New Roman" w:eastAsiaTheme="minorEastAsia" w:hAnsi="Times New Roman" w:cs="Times New Roman"/>
          <w:color w:val="auto"/>
        </w:rPr>
      </w:pPr>
    </w:p>
    <w:p w:rsidR="00075BD1" w:rsidRDefault="00075BD1" w:rsidP="00B00A55">
      <w:pPr>
        <w:autoSpaceDE w:val="0"/>
        <w:autoSpaceDN w:val="0"/>
        <w:adjustRightInd w:val="0"/>
        <w:spacing w:after="0" w:line="360" w:lineRule="auto"/>
        <w:ind w:firstLine="708"/>
        <w:jc w:val="both"/>
        <w:rPr>
          <w:rFonts w:ascii="Times New Roman" w:eastAsia="Times New Roman" w:hAnsi="Times New Roman" w:cs="Times New Roman"/>
          <w:u w:val="single"/>
        </w:rPr>
      </w:pPr>
    </w:p>
    <w:p w:rsidR="00075BD1" w:rsidRDefault="004005C6" w:rsidP="00B00A55">
      <w:pPr>
        <w:autoSpaceDE w:val="0"/>
        <w:autoSpaceDN w:val="0"/>
        <w:adjustRightInd w:val="0"/>
        <w:spacing w:after="0" w:line="360" w:lineRule="auto"/>
        <w:ind w:firstLine="708"/>
        <w:jc w:val="both"/>
        <w:rPr>
          <w:rFonts w:ascii="Times New Roman" w:eastAsia="Times New Roman" w:hAnsi="Times New Roman" w:cs="Times New Roman"/>
        </w:rPr>
      </w:pPr>
      <w:r w:rsidRPr="006E1126">
        <w:rPr>
          <w:rFonts w:ascii="Times New Roman" w:eastAsia="Times New Roman" w:hAnsi="Times New Roman" w:cs="Times New Roman"/>
        </w:rPr>
        <w:lastRenderedPageBreak/>
        <w:t>Tratando-se, portanto, de direito individual assegurado constitucionalmente, a liberdade religiosa deve ser protegida de forma conjunta e concorrente por todos os entes da federação, por meio da atuação de todos os Poderes.</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No âmbito do Poder Judiciário, o Supremo Tribunal Federal vem reforçando de forma sistemática, por meio de diversas decisões, o combate à intolerância religiosa.</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Em setembro de 2024, o STF decidiu que Testemunhas de Jeová maiores de idade e capazes têm o direito de recusar procedimento médico que envolva transfusão de sangue. Também decidiu que o Estado deve oferecer procedimentos alternativos disponíveis no Sistema Único de Saúde (SUS), ainda que seja necessário</w:t>
      </w:r>
      <w:r>
        <w:rPr>
          <w:rFonts w:ascii="Times New Roman" w:eastAsia="Times New Roman" w:hAnsi="Times New Roman" w:cs="Times New Roman"/>
          <w:color w:val="212529"/>
        </w:rPr>
        <w:t xml:space="preserve"> recorrer a outras localidades.</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A posição do Plenário foi de que o direito à liberdade religiosa exige que o Estado garanta as condições adequadas para que as pessoas vivam de acordo com ritos, cultos e dogmas de sua fé, sem coerção ou discriminação. A opção pelo tratamento alternativo deve ser tomada de forma livre, consciente e informada sobre as consequências e abrange apenas o paciente.</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O entendimento foi firmado no julgamento dos Recursos Extraordinários (</w:t>
      </w:r>
      <w:proofErr w:type="spellStart"/>
      <w:r w:rsidRPr="006E1126">
        <w:rPr>
          <w:rFonts w:ascii="Times New Roman" w:eastAsia="Times New Roman" w:hAnsi="Times New Roman" w:cs="Times New Roman"/>
          <w:color w:val="212529"/>
        </w:rPr>
        <w:t>REs</w:t>
      </w:r>
      <w:proofErr w:type="spellEnd"/>
      <w:r w:rsidRPr="006E1126">
        <w:rPr>
          <w:rFonts w:ascii="Times New Roman" w:eastAsia="Times New Roman" w:hAnsi="Times New Roman" w:cs="Times New Roman"/>
          <w:color w:val="212529"/>
        </w:rPr>
        <w:t>) 979742 e 1212272, com repercussão geral. Portanto, as teses fixadas devem ser aplicadas aos casos semelhantes em todas as instâncias do Judiciário.</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Em novembro de 2020, o Tribunal reconheceu a possibilidade de realização de etapas de concurso público em datas e locais diferentes dos previstos em edital por motivos de crença religiosa do candidato, desde que garantida a igualdade entre todos os participantes. O caso concreto (RE 611874) envolveu um membro da Igreja Adventista do Sétimo Dia que teria de fazer uma prova física num sábado, dia reservado por sua crença para descanso, adoração e ministério. O entendimento foi o de que constranger a pessoa de modo a levá-la a renunciar à sua fé representa desrespeito à diversidade de ideias e à própria diversidade espiritual.</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Na mesma ocasião, o colegiado considerou possível que a administração pública estabeleça critérios alternativos para o cumprimento dos deveres funcionais, inclusive durante o estágio probatório, por servidores que apontem impedimento por motivos de crença religiosa. O processo (Recurso Extraordinário com Agravo – ARE 1099099) envolveu uma professora adventista reprovada no estágio probatório por não trabalhar entre o pôr do sol de sexta-feira e o de sábado. Os dois casos têm repercussão geral.</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 xml:space="preserve">Em março de 2018, a Segunda Turma do STF negou o Recurso Ordinário em Habeas Corpus (RHC) 146303, em que um pastor da Igreja Pentecostal Geração Jesus Cristo buscava trancar ação penal em que foi condenado por praticar e incitar discriminação religiosa na internet contra autoridades públicas e seguidores de diversas crenças religiosas – católica, judaica, islâmica, espírita, </w:t>
      </w:r>
      <w:proofErr w:type="spellStart"/>
      <w:r w:rsidRPr="006E1126">
        <w:rPr>
          <w:rFonts w:ascii="Times New Roman" w:eastAsia="Times New Roman" w:hAnsi="Times New Roman" w:cs="Times New Roman"/>
          <w:color w:val="212529"/>
        </w:rPr>
        <w:t>wicca</w:t>
      </w:r>
      <w:proofErr w:type="spellEnd"/>
      <w:r w:rsidRPr="006E1126">
        <w:rPr>
          <w:rFonts w:ascii="Times New Roman" w:eastAsia="Times New Roman" w:hAnsi="Times New Roman" w:cs="Times New Roman"/>
          <w:color w:val="212529"/>
        </w:rPr>
        <w:t>, umbandista e outras.</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sidRPr="006E1126">
        <w:rPr>
          <w:rFonts w:ascii="Times New Roman" w:eastAsia="Times New Roman" w:hAnsi="Times New Roman" w:cs="Times New Roman"/>
          <w:color w:val="212529"/>
        </w:rPr>
        <w:t xml:space="preserve">Para o colegiado, a incitação ao ódio público não está protegida nem amparada pela cláusula constitucional que assegura liberdade de expressão. Assim, a conduta do pastor não </w:t>
      </w:r>
      <w:r w:rsidRPr="006E1126">
        <w:rPr>
          <w:rFonts w:ascii="Times New Roman" w:eastAsia="Times New Roman" w:hAnsi="Times New Roman" w:cs="Times New Roman"/>
          <w:color w:val="212529"/>
        </w:rPr>
        <w:lastRenderedPageBreak/>
        <w:t>consistiu apenas na defesa da própria religião, mas em um ataque ao culto alheio, “que põe em risco a liberdade religiosa daqueles que professam fé diferente”.</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Pr>
          <w:rFonts w:ascii="Times New Roman" w:eastAsia="Times New Roman" w:hAnsi="Times New Roman" w:cs="Times New Roman"/>
          <w:color w:val="212529"/>
        </w:rPr>
        <w:t xml:space="preserve">Diversas outras decisões no mesmo sentido poderiam ser </w:t>
      </w:r>
      <w:r w:rsidR="002B0379">
        <w:rPr>
          <w:rFonts w:ascii="Times New Roman" w:eastAsia="Times New Roman" w:hAnsi="Times New Roman" w:cs="Times New Roman"/>
          <w:color w:val="212529"/>
        </w:rPr>
        <w:t>mencionadas</w:t>
      </w:r>
      <w:r>
        <w:rPr>
          <w:rFonts w:ascii="Times New Roman" w:eastAsia="Times New Roman" w:hAnsi="Times New Roman" w:cs="Times New Roman"/>
          <w:color w:val="212529"/>
        </w:rPr>
        <w:t>.</w:t>
      </w:r>
    </w:p>
    <w:p w:rsidR="006E1126" w:rsidRDefault="006E1126" w:rsidP="006E1126">
      <w:pPr>
        <w:autoSpaceDE w:val="0"/>
        <w:autoSpaceDN w:val="0"/>
        <w:adjustRightInd w:val="0"/>
        <w:spacing w:after="0" w:line="360" w:lineRule="auto"/>
        <w:ind w:firstLine="708"/>
        <w:jc w:val="both"/>
        <w:rPr>
          <w:rFonts w:ascii="Times New Roman" w:eastAsia="Times New Roman" w:hAnsi="Times New Roman" w:cs="Times New Roman"/>
          <w:color w:val="212529"/>
        </w:rPr>
      </w:pPr>
      <w:r>
        <w:rPr>
          <w:rFonts w:ascii="Times New Roman" w:eastAsia="Times New Roman" w:hAnsi="Times New Roman" w:cs="Times New Roman"/>
          <w:color w:val="212529"/>
        </w:rPr>
        <w:t>No âmbito do Poder Legislativo Federal foi publicada a Lei n° 11.635/2007, que instituiu o Dia Nacional de Combate à Intolerância Religiosa. Pode-se citar, também, a Lei n° 7.716/1989, que criminaliza condutas resultantes de discriminação religiosa.</w:t>
      </w:r>
    </w:p>
    <w:p w:rsidR="002B0379" w:rsidRDefault="006E1126" w:rsidP="00B00A55">
      <w:pPr>
        <w:autoSpaceDE w:val="0"/>
        <w:autoSpaceDN w:val="0"/>
        <w:adjustRightInd w:val="0"/>
        <w:spacing w:after="0" w:line="360" w:lineRule="auto"/>
        <w:ind w:firstLine="708"/>
        <w:jc w:val="both"/>
        <w:rPr>
          <w:rFonts w:ascii="Times New Roman" w:eastAsia="Times New Roman" w:hAnsi="Times New Roman" w:cs="Times New Roman"/>
          <w:color w:val="212529"/>
        </w:rPr>
      </w:pPr>
      <w:r>
        <w:rPr>
          <w:rFonts w:ascii="Times New Roman" w:eastAsia="Times New Roman" w:hAnsi="Times New Roman" w:cs="Times New Roman"/>
          <w:color w:val="212529"/>
        </w:rPr>
        <w:t>Diante de tudo o exposto, pode-se concluir que os municípios podem e devem atuar de forma concorrente no combate</w:t>
      </w:r>
      <w:r w:rsidR="0037657B">
        <w:rPr>
          <w:rFonts w:ascii="Times New Roman" w:eastAsia="Times New Roman" w:hAnsi="Times New Roman" w:cs="Times New Roman"/>
          <w:color w:val="212529"/>
        </w:rPr>
        <w:t xml:space="preserve"> à intolerâncias religiosa.</w:t>
      </w:r>
    </w:p>
    <w:p w:rsidR="00075BD1" w:rsidRDefault="0037657B" w:rsidP="00B00A55">
      <w:pPr>
        <w:autoSpaceDE w:val="0"/>
        <w:autoSpaceDN w:val="0"/>
        <w:adjustRightInd w:val="0"/>
        <w:spacing w:after="0" w:line="360" w:lineRule="auto"/>
        <w:ind w:firstLine="708"/>
        <w:jc w:val="both"/>
        <w:rPr>
          <w:rFonts w:ascii="Times New Roman" w:eastAsia="Times New Roman" w:hAnsi="Times New Roman" w:cs="Times New Roman"/>
          <w:u w:val="single"/>
        </w:rPr>
      </w:pPr>
      <w:bookmarkStart w:id="0" w:name="_GoBack"/>
      <w:bookmarkEnd w:id="0"/>
      <w:r>
        <w:rPr>
          <w:rFonts w:ascii="Times New Roman" w:eastAsia="Times New Roman" w:hAnsi="Times New Roman" w:cs="Times New Roman"/>
          <w:color w:val="212529"/>
        </w:rPr>
        <w:t>O Projeto de Lei em análise</w:t>
      </w:r>
      <w:r w:rsidR="005F613B">
        <w:rPr>
          <w:rFonts w:ascii="Times New Roman" w:eastAsia="Times New Roman" w:hAnsi="Times New Roman" w:cs="Times New Roman"/>
          <w:color w:val="212529"/>
        </w:rPr>
        <w:t xml:space="preserve"> visa responsabilizar no âmbito administrativo condutas</w:t>
      </w:r>
      <w:r w:rsidR="00470ED6">
        <w:rPr>
          <w:rFonts w:ascii="Times New Roman" w:eastAsia="Times New Roman" w:hAnsi="Times New Roman" w:cs="Times New Roman"/>
          <w:color w:val="212529"/>
        </w:rPr>
        <w:t xml:space="preserve"> de intolerância religiosa, complementando, no âmbito do já mencionado inciso II do artigo 30 da Constituição Federal, o arcabouço normativo federal, não havendo que se falar em usurpação de competência legislativa seja da União, seja do Estado de Minas Gerais.</w:t>
      </w: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9A3433" w:rsidRPr="009A3433" w:rsidRDefault="009A3433" w:rsidP="009A3433">
      <w:pPr>
        <w:pStyle w:val="Ttulo1"/>
        <w:ind w:left="851"/>
        <w:rPr>
          <w:b w:val="0"/>
          <w:sz w:val="22"/>
        </w:rPr>
      </w:pPr>
      <w:r w:rsidRPr="009A3433">
        <w:rPr>
          <w:spacing w:val="-2"/>
          <w:sz w:val="22"/>
        </w:rPr>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233EE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B75C3A">
        <w:rPr>
          <w:rFonts w:ascii="Times New Roman" w:eastAsia="Times New Roman" w:hAnsi="Times New Roman" w:cs="Times New Roman"/>
          <w:b/>
          <w:u w:val="single"/>
        </w:rPr>
        <w:t>,</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6B31DC">
        <w:rPr>
          <w:rFonts w:ascii="Times New Roman" w:eastAsia="Times New Roman" w:hAnsi="Times New Roman" w:cs="Times New Roman"/>
          <w:b/>
        </w:rPr>
        <w:t>8.0</w:t>
      </w:r>
      <w:r w:rsidR="00795F13">
        <w:rPr>
          <w:rFonts w:ascii="Times New Roman" w:eastAsia="Times New Roman" w:hAnsi="Times New Roman" w:cs="Times New Roman"/>
          <w:b/>
        </w:rPr>
        <w:t>49</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B91361">
        <w:rPr>
          <w:rFonts w:ascii="Times New Roman" w:eastAsia="Times New Roman" w:hAnsi="Times New Roman" w:cs="Times New Roman"/>
        </w:rPr>
        <w:t>ormente, à deliberação Plenária</w:t>
      </w:r>
      <w:r w:rsidR="00233EE7">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Default="002D7377" w:rsidP="00FC61FA">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430AAC" w:rsidRPr="00BA4608" w:rsidRDefault="00430AAC" w:rsidP="00FC61FA">
      <w:pPr>
        <w:spacing w:before="240" w:line="360" w:lineRule="auto"/>
        <w:ind w:firstLine="851"/>
        <w:jc w:val="both"/>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63" w:rsidRDefault="00EB1C63">
      <w:pPr>
        <w:spacing w:after="0" w:line="240" w:lineRule="auto"/>
      </w:pPr>
      <w:r>
        <w:separator/>
      </w:r>
    </w:p>
  </w:endnote>
  <w:endnote w:type="continuationSeparator" w:id="0">
    <w:p w:rsidR="00EB1C63" w:rsidRDefault="00EB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Default="0011638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16382" w:rsidRDefault="00116382">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Pr="00E01C57" w:rsidRDefault="00116382">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2B0379">
      <w:rPr>
        <w:rFonts w:ascii="Times New Roman" w:hAnsi="Times New Roman" w:cs="Times New Roman"/>
        <w:noProof/>
        <w:sz w:val="20"/>
      </w:rPr>
      <w:t>6</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116382" w:rsidRDefault="00116382">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Default="0011638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16382" w:rsidRDefault="00116382">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63" w:rsidRDefault="00EB1C63">
      <w:pPr>
        <w:spacing w:after="0" w:line="240" w:lineRule="auto"/>
      </w:pPr>
      <w:r>
        <w:separator/>
      </w:r>
    </w:p>
  </w:footnote>
  <w:footnote w:type="continuationSeparator" w:id="0">
    <w:p w:rsidR="00EB1C63" w:rsidRDefault="00EB1C63">
      <w:pPr>
        <w:spacing w:after="0" w:line="240" w:lineRule="auto"/>
      </w:pPr>
      <w:r>
        <w:continuationSeparator/>
      </w:r>
    </w:p>
  </w:footnote>
  <w:footnote w:id="1">
    <w:p w:rsidR="00116382" w:rsidRDefault="00116382"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116382" w:rsidRDefault="00116382"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 w:id="3">
    <w:p w:rsidR="00075BD1" w:rsidRDefault="00075BD1" w:rsidP="00075BD1">
      <w:pPr>
        <w:pStyle w:val="Textodenotaderodap"/>
        <w:jc w:val="both"/>
      </w:pPr>
      <w:r>
        <w:rPr>
          <w:rStyle w:val="Refdenotaderodap"/>
        </w:rPr>
        <w:footnoteRef/>
      </w:r>
      <w:r>
        <w:t xml:space="preserve"> FERNANDES, Bernardo Gonçalves. </w:t>
      </w:r>
      <w:r>
        <w:rPr>
          <w:i/>
        </w:rPr>
        <w:t>Curso de Direito Constitucional</w:t>
      </w:r>
      <w:r>
        <w:t xml:space="preserve">. – 14. ed., ver. atual. e </w:t>
      </w:r>
      <w:proofErr w:type="spellStart"/>
      <w:r>
        <w:t>ampl</w:t>
      </w:r>
      <w:proofErr w:type="spellEnd"/>
      <w:r>
        <w:t xml:space="preserve">. – São Paulo: Editora </w:t>
      </w:r>
      <w:proofErr w:type="spellStart"/>
      <w:r>
        <w:t>Juspodvim</w:t>
      </w:r>
      <w:proofErr w:type="spellEnd"/>
      <w:r>
        <w:t>, 2022, p. 365;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729BE"/>
    <w:rsid w:val="00075BD1"/>
    <w:rsid w:val="00093406"/>
    <w:rsid w:val="000A7EEE"/>
    <w:rsid w:val="000E3B6A"/>
    <w:rsid w:val="00114B7C"/>
    <w:rsid w:val="001160A1"/>
    <w:rsid w:val="00116382"/>
    <w:rsid w:val="00137739"/>
    <w:rsid w:val="00152A96"/>
    <w:rsid w:val="00175379"/>
    <w:rsid w:val="0017608F"/>
    <w:rsid w:val="00185EB3"/>
    <w:rsid w:val="00193BD1"/>
    <w:rsid w:val="001B77CF"/>
    <w:rsid w:val="001D3C8F"/>
    <w:rsid w:val="001D5B26"/>
    <w:rsid w:val="001E4836"/>
    <w:rsid w:val="00211F7D"/>
    <w:rsid w:val="00223F90"/>
    <w:rsid w:val="00233EE7"/>
    <w:rsid w:val="0028476A"/>
    <w:rsid w:val="00293C63"/>
    <w:rsid w:val="002A0AE8"/>
    <w:rsid w:val="002A6237"/>
    <w:rsid w:val="002A64CB"/>
    <w:rsid w:val="002B0379"/>
    <w:rsid w:val="002B4697"/>
    <w:rsid w:val="002C3C8F"/>
    <w:rsid w:val="002D7377"/>
    <w:rsid w:val="002E6940"/>
    <w:rsid w:val="002F1E44"/>
    <w:rsid w:val="002F5142"/>
    <w:rsid w:val="00300B8B"/>
    <w:rsid w:val="003036C1"/>
    <w:rsid w:val="00303D91"/>
    <w:rsid w:val="00344F3B"/>
    <w:rsid w:val="00347DCD"/>
    <w:rsid w:val="00351B92"/>
    <w:rsid w:val="0035541B"/>
    <w:rsid w:val="00363137"/>
    <w:rsid w:val="00364F24"/>
    <w:rsid w:val="003748C0"/>
    <w:rsid w:val="0037657B"/>
    <w:rsid w:val="00377E4A"/>
    <w:rsid w:val="00397EFF"/>
    <w:rsid w:val="004005C6"/>
    <w:rsid w:val="00412E17"/>
    <w:rsid w:val="00425D4F"/>
    <w:rsid w:val="00430AAC"/>
    <w:rsid w:val="004430E4"/>
    <w:rsid w:val="00443F0D"/>
    <w:rsid w:val="00445787"/>
    <w:rsid w:val="00457FBC"/>
    <w:rsid w:val="0046334F"/>
    <w:rsid w:val="00470ED6"/>
    <w:rsid w:val="004777EB"/>
    <w:rsid w:val="00480944"/>
    <w:rsid w:val="0049394E"/>
    <w:rsid w:val="00495637"/>
    <w:rsid w:val="004A1935"/>
    <w:rsid w:val="004A419C"/>
    <w:rsid w:val="004A5EE5"/>
    <w:rsid w:val="004B42DD"/>
    <w:rsid w:val="004D4429"/>
    <w:rsid w:val="004E7319"/>
    <w:rsid w:val="004E7E55"/>
    <w:rsid w:val="005167E6"/>
    <w:rsid w:val="00544899"/>
    <w:rsid w:val="00555476"/>
    <w:rsid w:val="005767B2"/>
    <w:rsid w:val="005B37BD"/>
    <w:rsid w:val="005D6F7A"/>
    <w:rsid w:val="005E215D"/>
    <w:rsid w:val="005F613B"/>
    <w:rsid w:val="00624384"/>
    <w:rsid w:val="00634A1C"/>
    <w:rsid w:val="006374B0"/>
    <w:rsid w:val="00662250"/>
    <w:rsid w:val="0067789C"/>
    <w:rsid w:val="006802B2"/>
    <w:rsid w:val="006A57FD"/>
    <w:rsid w:val="006B31DC"/>
    <w:rsid w:val="006B730A"/>
    <w:rsid w:val="006D5F4B"/>
    <w:rsid w:val="006E1126"/>
    <w:rsid w:val="006E76F4"/>
    <w:rsid w:val="006F2FCF"/>
    <w:rsid w:val="00703316"/>
    <w:rsid w:val="0070431F"/>
    <w:rsid w:val="00717E5B"/>
    <w:rsid w:val="0072352B"/>
    <w:rsid w:val="00744BB3"/>
    <w:rsid w:val="0074734A"/>
    <w:rsid w:val="0079503B"/>
    <w:rsid w:val="00795F13"/>
    <w:rsid w:val="00796B90"/>
    <w:rsid w:val="007B6C07"/>
    <w:rsid w:val="007C5BBA"/>
    <w:rsid w:val="007D23D9"/>
    <w:rsid w:val="007D60EB"/>
    <w:rsid w:val="00800467"/>
    <w:rsid w:val="00800581"/>
    <w:rsid w:val="00803448"/>
    <w:rsid w:val="008125A7"/>
    <w:rsid w:val="008408F3"/>
    <w:rsid w:val="00847617"/>
    <w:rsid w:val="00847D71"/>
    <w:rsid w:val="00853D54"/>
    <w:rsid w:val="00863A9A"/>
    <w:rsid w:val="0087083E"/>
    <w:rsid w:val="00884301"/>
    <w:rsid w:val="00892E0B"/>
    <w:rsid w:val="008A13DC"/>
    <w:rsid w:val="008B32B2"/>
    <w:rsid w:val="008B3DF8"/>
    <w:rsid w:val="008C1CFB"/>
    <w:rsid w:val="008D553B"/>
    <w:rsid w:val="008E0768"/>
    <w:rsid w:val="008F1C16"/>
    <w:rsid w:val="0091110A"/>
    <w:rsid w:val="0091257D"/>
    <w:rsid w:val="00921278"/>
    <w:rsid w:val="00931726"/>
    <w:rsid w:val="009363D1"/>
    <w:rsid w:val="009710CC"/>
    <w:rsid w:val="009814C8"/>
    <w:rsid w:val="009A0F3C"/>
    <w:rsid w:val="009A16D8"/>
    <w:rsid w:val="009A3433"/>
    <w:rsid w:val="009A350D"/>
    <w:rsid w:val="009A3981"/>
    <w:rsid w:val="009D47FE"/>
    <w:rsid w:val="009D7874"/>
    <w:rsid w:val="009E2685"/>
    <w:rsid w:val="009F7FD4"/>
    <w:rsid w:val="00A021DB"/>
    <w:rsid w:val="00A0624A"/>
    <w:rsid w:val="00A12DE0"/>
    <w:rsid w:val="00A20616"/>
    <w:rsid w:val="00A23B85"/>
    <w:rsid w:val="00A313F0"/>
    <w:rsid w:val="00A4102A"/>
    <w:rsid w:val="00A4280D"/>
    <w:rsid w:val="00A625F0"/>
    <w:rsid w:val="00A7321A"/>
    <w:rsid w:val="00A766EE"/>
    <w:rsid w:val="00AA0861"/>
    <w:rsid w:val="00AB41A7"/>
    <w:rsid w:val="00AB5C0B"/>
    <w:rsid w:val="00AD2D44"/>
    <w:rsid w:val="00AF2B0A"/>
    <w:rsid w:val="00B00A55"/>
    <w:rsid w:val="00B0349A"/>
    <w:rsid w:val="00B6493D"/>
    <w:rsid w:val="00B73A04"/>
    <w:rsid w:val="00B75C3A"/>
    <w:rsid w:val="00B91361"/>
    <w:rsid w:val="00BA0BA2"/>
    <w:rsid w:val="00BA4608"/>
    <w:rsid w:val="00BA5F57"/>
    <w:rsid w:val="00BB1D8D"/>
    <w:rsid w:val="00BD2C4D"/>
    <w:rsid w:val="00C366D8"/>
    <w:rsid w:val="00C7514B"/>
    <w:rsid w:val="00C86D82"/>
    <w:rsid w:val="00CA00DF"/>
    <w:rsid w:val="00CA2017"/>
    <w:rsid w:val="00CE6996"/>
    <w:rsid w:val="00D03BFE"/>
    <w:rsid w:val="00D17C4E"/>
    <w:rsid w:val="00D2288D"/>
    <w:rsid w:val="00D251C0"/>
    <w:rsid w:val="00D372C1"/>
    <w:rsid w:val="00D429F8"/>
    <w:rsid w:val="00D53B3D"/>
    <w:rsid w:val="00D56A05"/>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33F03"/>
    <w:rsid w:val="00E4734D"/>
    <w:rsid w:val="00E74CC4"/>
    <w:rsid w:val="00E804E1"/>
    <w:rsid w:val="00E84C3D"/>
    <w:rsid w:val="00E8505D"/>
    <w:rsid w:val="00E869A9"/>
    <w:rsid w:val="00E87FB3"/>
    <w:rsid w:val="00E96477"/>
    <w:rsid w:val="00EB1615"/>
    <w:rsid w:val="00EB1C63"/>
    <w:rsid w:val="00EB5DE2"/>
    <w:rsid w:val="00EB7217"/>
    <w:rsid w:val="00EE762E"/>
    <w:rsid w:val="00EE7917"/>
    <w:rsid w:val="00EF38E3"/>
    <w:rsid w:val="00F115F6"/>
    <w:rsid w:val="00F36628"/>
    <w:rsid w:val="00F733B8"/>
    <w:rsid w:val="00F8132A"/>
    <w:rsid w:val="00F857BF"/>
    <w:rsid w:val="00FA003C"/>
    <w:rsid w:val="00FB7EFC"/>
    <w:rsid w:val="00FC61FA"/>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961351639">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42576572">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437821185">
      <w:bodyDiv w:val="1"/>
      <w:marLeft w:val="0"/>
      <w:marRight w:val="0"/>
      <w:marTop w:val="0"/>
      <w:marBottom w:val="0"/>
      <w:divBdr>
        <w:top w:val="none" w:sz="0" w:space="0" w:color="auto"/>
        <w:left w:val="none" w:sz="0" w:space="0" w:color="auto"/>
        <w:bottom w:val="none" w:sz="0" w:space="0" w:color="auto"/>
        <w:right w:val="none" w:sz="0" w:space="0" w:color="auto"/>
      </w:divBdr>
    </w:div>
    <w:div w:id="1576012624">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7FA8-9790-451E-9812-5534A00C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6</Pages>
  <Words>1986</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94</cp:revision>
  <cp:lastPrinted>2024-11-14T20:47:00Z</cp:lastPrinted>
  <dcterms:created xsi:type="dcterms:W3CDTF">2024-05-06T18:04:00Z</dcterms:created>
  <dcterms:modified xsi:type="dcterms:W3CDTF">2025-05-16T17:33:00Z</dcterms:modified>
</cp:coreProperties>
</file>