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BA27B5">
        <w:rPr>
          <w:rFonts w:ascii="Times New Roman" w:eastAsia="Times New Roman" w:hAnsi="Times New Roman" w:cs="Times New Roman"/>
          <w:b/>
        </w:rPr>
        <w:t>12 de maio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977A19">
        <w:rPr>
          <w:rFonts w:ascii="Times New Roman" w:eastAsia="Times New Roman" w:hAnsi="Times New Roman" w:cs="Times New Roman"/>
          <w:b/>
        </w:rPr>
        <w:t>Emenda nº 05</w:t>
      </w:r>
      <w:r w:rsidR="0084510D" w:rsidRPr="0084510D">
        <w:rPr>
          <w:rFonts w:ascii="Times New Roman" w:eastAsia="Times New Roman" w:hAnsi="Times New Roman" w:cs="Times New Roman"/>
          <w:b/>
        </w:rPr>
        <w:t>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  <w:r w:rsidR="001F18E2">
        <w:rPr>
          <w:rFonts w:ascii="Times New Roman" w:eastAsia="Times New Roman" w:hAnsi="Times New Roman" w:cs="Times New Roman"/>
          <w:b/>
        </w:rPr>
        <w:t>Delegado Renato Gavião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emendas parlamentares, dos projetos de lei enviados pelo 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954059">
        <w:rPr>
          <w:rFonts w:ascii="Times New Roman" w:eastAsiaTheme="minorEastAsia" w:hAnsi="Times New Roman" w:cs="Times New Roman"/>
          <w:color w:val="auto"/>
        </w:rPr>
        <w:t>esente emenda,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nenhum tipo de empecilho jurídico.</w:t>
      </w:r>
    </w:p>
    <w:p w:rsidR="00BA27B5" w:rsidRDefault="00CF569D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No entanto, </w:t>
      </w:r>
      <w:r w:rsidR="00BA27B5">
        <w:rPr>
          <w:rFonts w:ascii="Times New Roman" w:eastAsiaTheme="minorEastAsia" w:hAnsi="Times New Roman" w:cs="Times New Roman"/>
          <w:color w:val="auto"/>
        </w:rPr>
        <w:t>alguns artigos propõem modificações que não são juridicamente possíveis.</w:t>
      </w:r>
    </w:p>
    <w:p w:rsidR="00CF569D" w:rsidRDefault="00BA27B5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O artigo 2 º substitui dá nova redação ao artigo 7º do Projeto de Lei nº 1.572/2025, substituindo o termo “cancelamento” pelo termos “suspensão”.</w:t>
      </w:r>
      <w:r w:rsidR="00CF569D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BA27B5" w:rsidRDefault="00BA27B5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dispõe o inciso V do artigo 28 da Lei nº 8.906, de 4 de julho de 1994 (Estatuto da Advocacia e da OAB), é incompatível com o exercício da advocacia a ocupação de cargos ou funções vinculadas à atividade policial.  Tem-se, portanto, que aquele que desempenha funções vinculadas à atividade policial deve ter sua inscrição junto à OAB cancelada.</w:t>
      </w:r>
    </w:p>
    <w:p w:rsidR="00BA27B5" w:rsidRDefault="00BA27B5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decisão recente (RE 608.588) o STF autorizou as guardas municipais a realizarem policiamento ostensivo, equiparando, assim, suas atividades às atividades policiais.</w:t>
      </w:r>
      <w:r w:rsidR="001E4621">
        <w:rPr>
          <w:rFonts w:ascii="Times New Roman" w:hAnsi="Times New Roman" w:cs="Times New Roman"/>
        </w:rPr>
        <w:t xml:space="preserve"> Desta forma, </w:t>
      </w:r>
      <w:r w:rsidR="008A4DF6">
        <w:rPr>
          <w:rFonts w:ascii="Times New Roman" w:hAnsi="Times New Roman" w:cs="Times New Roman"/>
        </w:rPr>
        <w:t xml:space="preserve">mostra-se correta a previsão de cancelamento do texto original do Projeto de Lei em análise. </w:t>
      </w:r>
    </w:p>
    <w:p w:rsidR="008A4DF6" w:rsidRDefault="008A4DF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o artigo 2°da Emenda em análise contraria o disposto na Lei Federal n° 8906/1994, motivo pelo qual mostra-se inconstitucional, por tratar de matéria cuja competência legislativa pertence à União.</w:t>
      </w: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Já o artigo 3° da Emenda Nº 5 ao Projeto de Lei Nº 1.572/2025 substitui o termo “poderá” por “deverá”. Ao trazer o termo “poderá” em sua redação original, o Projeto de Lei n° 1.572/2025 reproduziu redação da Lei Federal n° 13.022/2014, </w:t>
      </w:r>
      <w:r>
        <w:rPr>
          <w:rFonts w:ascii="Times New Roman" w:eastAsia="Times New Roman" w:hAnsi="Times New Roman" w:cs="Times New Roman"/>
          <w:color w:val="auto"/>
        </w:rPr>
        <w:t>que em seu artigo 1° assim dispõe:</w:t>
      </w:r>
    </w:p>
    <w:p w:rsidR="008A4DF6" w:rsidRDefault="008A4DF6" w:rsidP="008A4D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auto"/>
        </w:rPr>
      </w:pPr>
    </w:p>
    <w:p w:rsidR="008A4DF6" w:rsidRDefault="008A4DF6" w:rsidP="008A4D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8A4DF6" w:rsidRDefault="008A4DF6" w:rsidP="008A4DF6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imes New Roman" w:eastAsiaTheme="minorEastAsia" w:hAnsi="Times New Roman" w:cs="Times New Roman"/>
          <w:i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u w:val="single"/>
        </w:rPr>
        <w:t>Art. 1º Esta Lei institui normas gerais para as guardas municipais</w:t>
      </w:r>
      <w:r>
        <w:rPr>
          <w:rFonts w:ascii="Times New Roman" w:eastAsiaTheme="minorEastAsia" w:hAnsi="Times New Roman" w:cs="Times New Roman"/>
          <w:i/>
        </w:rPr>
        <w:t>, disciplinando o § 8º do art. 144 da Constituição Federal.</w:t>
      </w: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Embora seja inequívoca a competência dos Municípios para constituírem suas guardas municipais, dentro de um sistema constitucional federativo, estruturou-se essa competência tendo-se em vista a necessidade de se observar o disposto na Constituição Federal e também as normas da Lei Federal n° 13.022/2014, que dispõe sobre normas gerais.</w:t>
      </w: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competência do município, portanto, fica adstrita aos parâmetros instituídos pela Lei Federal, que pode ser suplementada, porém não pode ser contrariada. No caso em análise, a emenda proposta modifica teor do texto da Lei Federal, invadindo competência da União para legislar sobre normas gerais as guardas municipais.</w:t>
      </w: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</w:p>
    <w:p w:rsidR="008A4DF6" w:rsidRDefault="008A4DF6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Por fim, o artigo </w:t>
      </w:r>
      <w:r w:rsidR="004529B2">
        <w:rPr>
          <w:rFonts w:ascii="Times New Roman" w:eastAsiaTheme="minorEastAsia" w:hAnsi="Times New Roman" w:cs="Times New Roman"/>
        </w:rPr>
        <w:t>6° da Emenda n° 05/2025 ao Projeto 1.572/2025, propõe emendar o artigo 18 do texto original, no intuito de ampliar a já prevista prisão especial para os Guardas Civis Municipais para depois do trânsito em julgado.</w:t>
      </w:r>
    </w:p>
    <w:p w:rsidR="004529B2" w:rsidRDefault="004529B2" w:rsidP="008A4D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</w:p>
    <w:p w:rsidR="00BA27B5" w:rsidRDefault="004529B2" w:rsidP="008F74C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Inicialmente, tal previsão não encontra amparo na Lei Federal n° 13.022/2014. Ademais, trata-se de matéria de processo penal, cuja competência legislativa é privativa da União. Desta forma, o artigo 6°da presente emenda não pode </w:t>
      </w:r>
      <w:r w:rsidR="008F74CB">
        <w:rPr>
          <w:rFonts w:ascii="Times New Roman" w:eastAsiaTheme="minorEastAsia" w:hAnsi="Times New Roman" w:cs="Times New Roman"/>
        </w:rPr>
        <w:t>subsistir, por apresentar vício de inconstitucionalidade formal.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8F74CB" w:rsidRDefault="008F74CB" w:rsidP="008F74C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color w:val="auto"/>
        </w:rPr>
      </w:pPr>
    </w:p>
    <w:p w:rsidR="00D42D4D" w:rsidRDefault="00D42D4D" w:rsidP="00D42D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</w:t>
      </w:r>
      <w:r w:rsidR="00D42B61">
        <w:rPr>
          <w:rFonts w:ascii="Times New Roman" w:eastAsia="Times New Roman" w:hAnsi="Times New Roman" w:cs="Times New Roman"/>
          <w:b/>
          <w:u w:val="single"/>
        </w:rPr>
        <w:t xml:space="preserve">da </w:t>
      </w:r>
      <w:r w:rsidR="00BA27B5">
        <w:rPr>
          <w:rFonts w:ascii="Times New Roman" w:eastAsia="Times New Roman" w:hAnsi="Times New Roman" w:cs="Times New Roman"/>
          <w:b/>
          <w:u w:val="single"/>
        </w:rPr>
        <w:t>Emenda n° 05</w:t>
      </w:r>
      <w:r w:rsidR="007A5B89" w:rsidRPr="00262046">
        <w:rPr>
          <w:rFonts w:ascii="Times New Roman" w:eastAsia="Times New Roman" w:hAnsi="Times New Roman" w:cs="Times New Roman"/>
          <w:b/>
          <w:u w:val="single"/>
        </w:rPr>
        <w:t>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BA27B5">
        <w:rPr>
          <w:rFonts w:ascii="Times New Roman" w:eastAsia="Times New Roman" w:hAnsi="Times New Roman" w:cs="Times New Roman"/>
          <w:b/>
          <w:u w:val="single"/>
        </w:rPr>
        <w:t>,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</w:t>
      </w:r>
      <w:r w:rsidR="00BA27B5">
        <w:rPr>
          <w:rFonts w:ascii="Times New Roman" w:eastAsia="Times New Roman" w:hAnsi="Times New Roman" w:cs="Times New Roman"/>
        </w:rPr>
        <w:t xml:space="preserve">, </w:t>
      </w:r>
      <w:r w:rsidR="00BA27B5" w:rsidRPr="00BA27B5">
        <w:rPr>
          <w:rFonts w:ascii="Times New Roman" w:eastAsia="Times New Roman" w:hAnsi="Times New Roman" w:cs="Times New Roman"/>
          <w:b/>
          <w:u w:val="single"/>
        </w:rPr>
        <w:t>com a ressalva de que os seus artigos 2º, 3º e 6º encontram óbice jurídico</w:t>
      </w:r>
      <w:r w:rsidR="007A5B89" w:rsidRPr="00BA27B5">
        <w:rPr>
          <w:rFonts w:ascii="Times New Roman" w:eastAsia="Times New Roman" w:hAnsi="Times New Roman" w:cs="Times New Roman"/>
          <w:b/>
          <w:u w:val="single"/>
        </w:rPr>
        <w:t>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8F74CB">
      <w:pPr>
        <w:spacing w:before="24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7C5BBA" w:rsidRPr="00F36628" w:rsidRDefault="00262046" w:rsidP="00857506">
      <w:pPr>
        <w:ind w:left="2616" w:right="2757"/>
        <w:jc w:val="center"/>
        <w:rPr>
          <w:rFonts w:ascii="Times New Roman" w:hAnsi="Times New Roman" w:cs="Times New Roman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  <w:bookmarkStart w:id="0" w:name="_GoBack"/>
      <w:bookmarkEnd w:id="0"/>
    </w:p>
    <w:sectPr w:rsidR="007C5BBA" w:rsidRPr="00F36628">
      <w:footerReference w:type="even" r:id="rId10"/>
      <w:footerReference w:type="default" r:id="rId11"/>
      <w:footerReference w:type="first" r:id="rId12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87" w:rsidRDefault="00EA6187">
      <w:pPr>
        <w:spacing w:after="0" w:line="240" w:lineRule="auto"/>
      </w:pPr>
      <w:r>
        <w:separator/>
      </w:r>
    </w:p>
  </w:endnote>
  <w:endnote w:type="continuationSeparator" w:id="0">
    <w:p w:rsidR="00EA6187" w:rsidRDefault="00EA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F6" w:rsidRDefault="008A4DF6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A4DF6" w:rsidRDefault="008A4DF6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F6" w:rsidRPr="00E01C57" w:rsidRDefault="008A4DF6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857506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8A4DF6" w:rsidRDefault="008A4DF6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F6" w:rsidRDefault="008A4DF6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A4DF6" w:rsidRDefault="008A4DF6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87" w:rsidRDefault="00EA6187">
      <w:pPr>
        <w:spacing w:after="0" w:line="240" w:lineRule="auto"/>
      </w:pPr>
      <w:r>
        <w:separator/>
      </w:r>
    </w:p>
  </w:footnote>
  <w:footnote w:type="continuationSeparator" w:id="0">
    <w:p w:rsidR="00EA6187" w:rsidRDefault="00EA6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621"/>
    <w:rsid w:val="001E4836"/>
    <w:rsid w:val="001F18E2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29B2"/>
    <w:rsid w:val="00457FBC"/>
    <w:rsid w:val="004777EB"/>
    <w:rsid w:val="00480944"/>
    <w:rsid w:val="00485F4C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A7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57506"/>
    <w:rsid w:val="00863A9A"/>
    <w:rsid w:val="0087083E"/>
    <w:rsid w:val="008A13DC"/>
    <w:rsid w:val="008A4DF6"/>
    <w:rsid w:val="008B32B2"/>
    <w:rsid w:val="008B3DF8"/>
    <w:rsid w:val="008C1CFB"/>
    <w:rsid w:val="008E0768"/>
    <w:rsid w:val="008F74CB"/>
    <w:rsid w:val="00931726"/>
    <w:rsid w:val="009363D1"/>
    <w:rsid w:val="00954059"/>
    <w:rsid w:val="00954F2A"/>
    <w:rsid w:val="00967666"/>
    <w:rsid w:val="009710CC"/>
    <w:rsid w:val="00977A19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06F3"/>
    <w:rsid w:val="00A4102A"/>
    <w:rsid w:val="00A625F0"/>
    <w:rsid w:val="00A7321A"/>
    <w:rsid w:val="00A950C5"/>
    <w:rsid w:val="00AA0861"/>
    <w:rsid w:val="00AB41A7"/>
    <w:rsid w:val="00AB5C0B"/>
    <w:rsid w:val="00AD2D44"/>
    <w:rsid w:val="00B0349A"/>
    <w:rsid w:val="00B6493D"/>
    <w:rsid w:val="00BA0BA2"/>
    <w:rsid w:val="00BA27B5"/>
    <w:rsid w:val="00BA4608"/>
    <w:rsid w:val="00BB1D8D"/>
    <w:rsid w:val="00BD2C4D"/>
    <w:rsid w:val="00C366D8"/>
    <w:rsid w:val="00C86D82"/>
    <w:rsid w:val="00CA00DF"/>
    <w:rsid w:val="00CA2017"/>
    <w:rsid w:val="00CC2F22"/>
    <w:rsid w:val="00CE6996"/>
    <w:rsid w:val="00CF569D"/>
    <w:rsid w:val="00D03BFE"/>
    <w:rsid w:val="00D17C4E"/>
    <w:rsid w:val="00D2288D"/>
    <w:rsid w:val="00D372C1"/>
    <w:rsid w:val="00D429F8"/>
    <w:rsid w:val="00D42B61"/>
    <w:rsid w:val="00D42D4D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A618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8329-968D-4D2F-870D-2E59EEF7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1210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59</cp:revision>
  <cp:lastPrinted>2024-11-14T20:47:00Z</cp:lastPrinted>
  <dcterms:created xsi:type="dcterms:W3CDTF">2024-05-06T18:04:00Z</dcterms:created>
  <dcterms:modified xsi:type="dcterms:W3CDTF">2025-05-12T17:56:00Z</dcterms:modified>
</cp:coreProperties>
</file>