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AF6E00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AF6E00">
        <w:rPr>
          <w:rFonts w:ascii="Times New Roman" w:eastAsia="Times New Roman" w:hAnsi="Times New Roman" w:cs="Times New Roman"/>
          <w:b/>
        </w:rPr>
        <w:t>Pouso A</w:t>
      </w:r>
      <w:r w:rsidR="00BE7156">
        <w:rPr>
          <w:rFonts w:ascii="Times New Roman" w:eastAsia="Times New Roman" w:hAnsi="Times New Roman" w:cs="Times New Roman"/>
          <w:b/>
        </w:rPr>
        <w:t xml:space="preserve">legre, </w:t>
      </w:r>
      <w:r w:rsidR="000A2620">
        <w:rPr>
          <w:rFonts w:ascii="Times New Roman" w:eastAsia="Times New Roman" w:hAnsi="Times New Roman" w:cs="Times New Roman"/>
          <w:b/>
        </w:rPr>
        <w:t>05 de maio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de 2025.</w:t>
      </w:r>
      <w:r w:rsidR="002D7377"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3815EB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CD1992">
        <w:rPr>
          <w:rFonts w:ascii="Times New Roman" w:eastAsia="Times New Roman" w:hAnsi="Times New Roman" w:cs="Times New Roman"/>
          <w:b/>
        </w:rPr>
        <w:t>Projeto de Lei nº 8.031</w:t>
      </w:r>
      <w:r w:rsidR="00B31F53">
        <w:rPr>
          <w:rFonts w:ascii="Times New Roman" w:eastAsia="Times New Roman" w:hAnsi="Times New Roman" w:cs="Times New Roman"/>
          <w:b/>
        </w:rPr>
        <w:t>/2025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CD1992" w:rsidRPr="00CD1992">
        <w:rPr>
          <w:rFonts w:ascii="Times New Roman" w:eastAsia="Times New Roman" w:hAnsi="Times New Roman" w:cs="Times New Roman"/>
          <w:b/>
        </w:rPr>
        <w:t>Leandro Morais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>“</w:t>
      </w:r>
      <w:r w:rsidR="00CD1992" w:rsidRPr="00CD1992">
        <w:rPr>
          <w:rFonts w:ascii="Times New Roman" w:hAnsi="Times New Roman" w:cs="Times New Roman"/>
          <w:b/>
        </w:rPr>
        <w:t>DISPÕE SOBRE DENOMINAÇÃO DE LOGRADOURO PÚBLICO: RUA CAPITÃO ADÃO FRANCISCO DO PRADO (*1929 +2015)</w:t>
      </w:r>
      <w:r w:rsidR="00E9663D" w:rsidRPr="00E9663D">
        <w:rPr>
          <w:rFonts w:ascii="Times New Roman" w:hAnsi="Times New Roman" w:cs="Times New Roman"/>
          <w:b/>
        </w:rPr>
        <w:t>.</w:t>
      </w:r>
      <w:r w:rsidR="005F4A3D">
        <w:rPr>
          <w:rFonts w:ascii="Times New Roman" w:hAnsi="Times New Roman" w:cs="Times New Roman"/>
          <w:b/>
        </w:rPr>
        <w:t xml:space="preserve"> </w:t>
      </w:r>
      <w:r w:rsidR="002B4697">
        <w:rPr>
          <w:rFonts w:ascii="Times New Roman" w:hAnsi="Times New Roman" w:cs="Times New Roman"/>
          <w:b/>
        </w:rPr>
        <w:t>”</w:t>
      </w:r>
    </w:p>
    <w:p w:rsid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que </w:t>
      </w:r>
      <w:r w:rsidR="00DE1700" w:rsidRPr="000A7EEE">
        <w:rPr>
          <w:rFonts w:ascii="Times New Roman" w:eastAsia="Times New Roman" w:hAnsi="Times New Roman" w:cs="Times New Roman"/>
        </w:rPr>
        <w:t>p</w:t>
      </w:r>
      <w:r w:rsidR="00853D54" w:rsidRPr="00853D54">
        <w:rPr>
          <w:rFonts w:ascii="Times New Roman" w:eastAsia="Times New Roman" w:hAnsi="Times New Roman" w:cs="Times New Roman"/>
        </w:rPr>
        <w:t xml:space="preserve">assa </w:t>
      </w:r>
      <w:r w:rsidR="005F4A3D" w:rsidRPr="005F4A3D">
        <w:rPr>
          <w:rFonts w:ascii="Times New Roman" w:eastAsia="Times New Roman" w:hAnsi="Times New Roman" w:cs="Times New Roman"/>
        </w:rPr>
        <w:t xml:space="preserve">a denominar-se </w:t>
      </w:r>
      <w:r w:rsidR="00CD1992" w:rsidRPr="00CD1992">
        <w:rPr>
          <w:rFonts w:ascii="Times New Roman" w:eastAsia="Times New Roman" w:hAnsi="Times New Roman" w:cs="Times New Roman"/>
        </w:rPr>
        <w:t xml:space="preserve">Rua Capitão Adão Francisco do Prado, a atual </w:t>
      </w:r>
      <w:proofErr w:type="gramStart"/>
      <w:r w:rsidR="00CD1992" w:rsidRPr="00CD1992">
        <w:rPr>
          <w:rFonts w:ascii="Times New Roman" w:eastAsia="Times New Roman" w:hAnsi="Times New Roman" w:cs="Times New Roman"/>
        </w:rPr>
        <w:t>‘’Rua</w:t>
      </w:r>
      <w:proofErr w:type="gramEnd"/>
      <w:r w:rsidR="00CD1992" w:rsidRPr="00CD1992">
        <w:rPr>
          <w:rFonts w:ascii="Times New Roman" w:eastAsia="Times New Roman" w:hAnsi="Times New Roman" w:cs="Times New Roman"/>
        </w:rPr>
        <w:t xml:space="preserve"> 1 - Sem Denominação’’, sem saída, com início na Rua Alberto Paciulli, localizada no Loteamento Nascente dos Prados.</w:t>
      </w:r>
    </w:p>
    <w:p w:rsidR="002D7377" w:rsidRP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196542">
        <w:rPr>
          <w:rFonts w:ascii="Times New Roman" w:eastAsia="Times New Roman" w:hAnsi="Times New Roman" w:cs="Times New Roman"/>
        </w:rPr>
        <w:t xml:space="preserve"> </w:t>
      </w:r>
      <w:r w:rsidR="00F45838">
        <w:rPr>
          <w:rFonts w:ascii="Times New Roman" w:eastAsia="Times New Roman" w:hAnsi="Times New Roman" w:cs="Times New Roman"/>
        </w:rPr>
        <w:t>esta</w:t>
      </w:r>
      <w:r w:rsidR="00AA0861" w:rsidRPr="00AA0861">
        <w:rPr>
          <w:rFonts w:ascii="Times New Roman" w:eastAsia="Times New Roman" w:hAnsi="Times New Roman" w:cs="Times New Roman"/>
        </w:rPr>
        <w:t xml:space="preserve">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promover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arts.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c/c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elaborar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lastRenderedPageBreak/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</w:t>
      </w:r>
      <w:r w:rsidRPr="00BA4608">
        <w:rPr>
          <w:rFonts w:ascii="Times New Roman" w:eastAsia="Times New Roman" w:hAnsi="Times New Roman" w:cs="Times New Roman"/>
          <w:b/>
          <w:i/>
        </w:rPr>
        <w:lastRenderedPageBreak/>
        <w:t xml:space="preserve">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6F790D" w:rsidRDefault="002D7377" w:rsidP="006F790D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6F790D" w:rsidRDefault="006F790D" w:rsidP="006F790D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6"/>
        </w:rPr>
      </w:pPr>
    </w:p>
    <w:p w:rsidR="006F790D" w:rsidRDefault="006F790D" w:rsidP="006F790D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Como o referido Projeto de Lei visa denominar bem público inominado, não se aplicam os procedimentos de alteração de denominação, regulados pela Lei Municipal nº 6.690/22. </w:t>
      </w:r>
    </w:p>
    <w:p w:rsidR="006F790D" w:rsidRPr="00BF4A2C" w:rsidRDefault="00BF4A2C" w:rsidP="00BF4A2C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E9663D"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</w:rPr>
        <w:t>esar do disposto no inciso VII do artigo 5º</w:t>
      </w:r>
      <w:r w:rsidRPr="00E9663D">
        <w:rPr>
          <w:rFonts w:ascii="Times New Roman" w:eastAsia="Times New Roman" w:hAnsi="Times New Roman" w:cs="Times New Roman"/>
        </w:rPr>
        <w:t xml:space="preserve"> da Lei Municipal nº 6.690/2022, que implica a necessidade de apresentação da certidão de antecedentes criminais do homenageado junto ao Projeto de Lei, tal certidão nã</w:t>
      </w:r>
      <w:r>
        <w:rPr>
          <w:rFonts w:ascii="Times New Roman" w:eastAsia="Times New Roman" w:hAnsi="Times New Roman" w:cs="Times New Roman"/>
        </w:rPr>
        <w:t>o foi incluída, pois, conforme d</w:t>
      </w:r>
      <w:r w:rsidRPr="00E9663D">
        <w:rPr>
          <w:rFonts w:ascii="Times New Roman" w:eastAsia="Times New Roman" w:hAnsi="Times New Roman" w:cs="Times New Roman"/>
        </w:rPr>
        <w:t>eclaração anexada ao Projeto, “</w:t>
      </w:r>
      <w:r w:rsidRPr="00FC3F97">
        <w:rPr>
          <w:rFonts w:ascii="Times New Roman" w:eastAsia="Times New Roman" w:hAnsi="Times New Roman" w:cs="Times New Roman"/>
        </w:rPr>
        <w:t>após exaustivas buscas, não foi possível encontrar os documentos pessoais suficientes da pessoa identifica</w:t>
      </w:r>
      <w:r>
        <w:rPr>
          <w:rFonts w:ascii="Times New Roman" w:eastAsia="Times New Roman" w:hAnsi="Times New Roman" w:cs="Times New Roman"/>
        </w:rPr>
        <w:t>da como Adão Francisco do Prado”. Dessa forma, solicitou-se</w:t>
      </w:r>
      <w:r w:rsidRPr="00E9663D">
        <w:rPr>
          <w:rFonts w:ascii="Times New Roman" w:eastAsia="Times New Roman" w:hAnsi="Times New Roman" w:cs="Times New Roman"/>
        </w:rPr>
        <w:t xml:space="preserve"> a exclusão da obrigatoriedade da apresentação do item.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6F790D" w:rsidRDefault="006F790D" w:rsidP="006F790D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</w:t>
      </w:r>
      <w:r w:rsidR="00BF4A2C">
        <w:rPr>
          <w:rFonts w:ascii="Times New Roman" w:eastAsia="Times New Roman" w:hAnsi="Times New Roman" w:cs="Times New Roman"/>
        </w:rPr>
        <w:t>ssim</w:t>
      </w:r>
      <w:r>
        <w:rPr>
          <w:rFonts w:ascii="Times New Roman" w:eastAsia="Times New Roman" w:hAnsi="Times New Roman" w:cs="Times New Roman"/>
        </w:rPr>
        <w:t xml:space="preserve">, constata-se que foram parcialmente apresentados os documentos exigidos pelo Art. 5º da Lei Municipal nº 6.690/2022, uma vez que foram apresentados certidão de óbito, biografia, mapa de localização do logradouro e declaração de ausência de antecedentes criminais.  </w:t>
      </w:r>
    </w:p>
    <w:p w:rsidR="006F790D" w:rsidRDefault="006F790D" w:rsidP="006F790D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 w:color="000000"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t>Entretanto, há a necessidade de apresentação da anuência por parte do setor competente da Prefeitura Municipal, atestando que o logradouro público a ser nomeado não possui denominação oficial e que não há impedimentos para sua nomeação, nos termos do Art. 5º, inciso III, da mencionada Lei.</w:t>
      </w:r>
    </w:p>
    <w:p w:rsidR="006F790D" w:rsidRDefault="006F790D" w:rsidP="006F790D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Em uma avaliação preliminar do Projeto de Lei apresentado e da documentação que o acompanha, verifica-se que, ao menos em caráter inicial, não há impedimentos legais para o início de sua tramitação.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:rsidR="006F790D" w:rsidRPr="006F790D" w:rsidRDefault="006F790D" w:rsidP="006F790D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FF3DEC" w:rsidRDefault="00FF3DEC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c/c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BF4A2C">
        <w:rPr>
          <w:rFonts w:ascii="Times New Roman" w:eastAsia="Times New Roman" w:hAnsi="Times New Roman" w:cs="Times New Roman"/>
          <w:b/>
          <w:u w:val="single"/>
        </w:rPr>
        <w:t>, com ressalvas,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CD1992">
        <w:rPr>
          <w:rFonts w:ascii="Times New Roman" w:eastAsia="Times New Roman" w:hAnsi="Times New Roman" w:cs="Times New Roman"/>
          <w:b/>
        </w:rPr>
        <w:t>8.031</w:t>
      </w:r>
      <w:r w:rsidR="00C366D8">
        <w:rPr>
          <w:rFonts w:ascii="Times New Roman" w:eastAsia="Times New Roman" w:hAnsi="Times New Roman" w:cs="Times New Roman"/>
          <w:b/>
        </w:rPr>
        <w:t>/</w:t>
      </w:r>
      <w:r w:rsidR="00B31F53">
        <w:rPr>
          <w:rFonts w:ascii="Times New Roman" w:eastAsia="Times New Roman" w:hAnsi="Times New Roman" w:cs="Times New Roman"/>
          <w:b/>
        </w:rPr>
        <w:t>2025</w:t>
      </w:r>
      <w:r w:rsidRPr="00BA4608">
        <w:rPr>
          <w:rFonts w:ascii="Times New Roman" w:eastAsia="Times New Roman" w:hAnsi="Times New Roman" w:cs="Times New Roman"/>
        </w:rPr>
        <w:t>, para ser submetido à análise das ‘Comissões Temáticas’ da Casa e, posteriormente, à deliberaç</w:t>
      </w:r>
      <w:r w:rsidR="00EE6AC0">
        <w:rPr>
          <w:rFonts w:ascii="Times New Roman" w:eastAsia="Times New Roman" w:hAnsi="Times New Roman" w:cs="Times New Roman"/>
        </w:rPr>
        <w:t>ão Plenária, salientando-se que</w:t>
      </w:r>
      <w:r w:rsidRPr="00BA4608">
        <w:rPr>
          <w:rFonts w:ascii="Times New Roman" w:eastAsia="Times New Roman" w:hAnsi="Times New Roman" w:cs="Times New Roman"/>
        </w:rPr>
        <w:t xml:space="preserve">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B31F53" w:rsidRPr="00B31F53" w:rsidRDefault="00B31F53" w:rsidP="00B31F5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31F53"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7C5BBA" w:rsidRPr="00F36628" w:rsidRDefault="00B31F53" w:rsidP="00B31F53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31F53">
        <w:rPr>
          <w:rFonts w:ascii="Times New Roman" w:eastAsia="Times New Roman" w:hAnsi="Times New Roman" w:cs="Times New Roman"/>
          <w:b/>
          <w:i/>
        </w:rPr>
        <w:t>Procurador – OAB/MG 120847</w:t>
      </w:r>
    </w:p>
    <w:sectPr w:rsidR="007C5BBA" w:rsidRPr="00F36628" w:rsidSect="003815EB">
      <w:footerReference w:type="even" r:id="rId6"/>
      <w:footerReference w:type="default" r:id="rId7"/>
      <w:footerReference w:type="first" r:id="rId8"/>
      <w:pgSz w:w="11906" w:h="16838"/>
      <w:pgMar w:top="1418" w:right="141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0A2620">
      <w:rPr>
        <w:rFonts w:ascii="Times New Roman" w:hAnsi="Times New Roman" w:cs="Times New Roman"/>
        <w:noProof/>
        <w:sz w:val="20"/>
      </w:rPr>
      <w:t>2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729BE"/>
    <w:rsid w:val="00093406"/>
    <w:rsid w:val="000A2620"/>
    <w:rsid w:val="000A7EEE"/>
    <w:rsid w:val="000E3B6A"/>
    <w:rsid w:val="000F7235"/>
    <w:rsid w:val="00152A96"/>
    <w:rsid w:val="00164A6B"/>
    <w:rsid w:val="00175379"/>
    <w:rsid w:val="0017608F"/>
    <w:rsid w:val="00196542"/>
    <w:rsid w:val="001E4836"/>
    <w:rsid w:val="00211F7D"/>
    <w:rsid w:val="00223F90"/>
    <w:rsid w:val="0028476A"/>
    <w:rsid w:val="002A0AE8"/>
    <w:rsid w:val="002A64CB"/>
    <w:rsid w:val="002B3320"/>
    <w:rsid w:val="002B4697"/>
    <w:rsid w:val="002C3C8F"/>
    <w:rsid w:val="002D7377"/>
    <w:rsid w:val="002E6940"/>
    <w:rsid w:val="002F5142"/>
    <w:rsid w:val="00300B8B"/>
    <w:rsid w:val="003036C1"/>
    <w:rsid w:val="00303D91"/>
    <w:rsid w:val="00351B92"/>
    <w:rsid w:val="00363137"/>
    <w:rsid w:val="00364F24"/>
    <w:rsid w:val="003748C0"/>
    <w:rsid w:val="00377E4A"/>
    <w:rsid w:val="003815EB"/>
    <w:rsid w:val="00397EFF"/>
    <w:rsid w:val="004430E4"/>
    <w:rsid w:val="00457FBC"/>
    <w:rsid w:val="00480944"/>
    <w:rsid w:val="00484DF7"/>
    <w:rsid w:val="0049394E"/>
    <w:rsid w:val="00495637"/>
    <w:rsid w:val="004A1935"/>
    <w:rsid w:val="004A5EE5"/>
    <w:rsid w:val="004B42DD"/>
    <w:rsid w:val="004D4429"/>
    <w:rsid w:val="004E7319"/>
    <w:rsid w:val="004E7E55"/>
    <w:rsid w:val="005767B2"/>
    <w:rsid w:val="005B37BD"/>
    <w:rsid w:val="005E0CE7"/>
    <w:rsid w:val="005E6047"/>
    <w:rsid w:val="005F4A3D"/>
    <w:rsid w:val="00634A1C"/>
    <w:rsid w:val="00662250"/>
    <w:rsid w:val="0067789C"/>
    <w:rsid w:val="006802B2"/>
    <w:rsid w:val="006A57FD"/>
    <w:rsid w:val="006E51C2"/>
    <w:rsid w:val="006F2FCF"/>
    <w:rsid w:val="006F790D"/>
    <w:rsid w:val="00703316"/>
    <w:rsid w:val="0070431F"/>
    <w:rsid w:val="00782792"/>
    <w:rsid w:val="0079503B"/>
    <w:rsid w:val="00796B90"/>
    <w:rsid w:val="007C5BBA"/>
    <w:rsid w:val="00800467"/>
    <w:rsid w:val="0080163A"/>
    <w:rsid w:val="008125A7"/>
    <w:rsid w:val="00847617"/>
    <w:rsid w:val="00847D71"/>
    <w:rsid w:val="00853D54"/>
    <w:rsid w:val="00863A9A"/>
    <w:rsid w:val="0087083E"/>
    <w:rsid w:val="008B32B2"/>
    <w:rsid w:val="008B3DF8"/>
    <w:rsid w:val="008C1CFB"/>
    <w:rsid w:val="008E0768"/>
    <w:rsid w:val="009363D1"/>
    <w:rsid w:val="009814C8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B37F8"/>
    <w:rsid w:val="00AB41A7"/>
    <w:rsid w:val="00AB5C0B"/>
    <w:rsid w:val="00AD2D44"/>
    <w:rsid w:val="00AF6E00"/>
    <w:rsid w:val="00B0349A"/>
    <w:rsid w:val="00B31F53"/>
    <w:rsid w:val="00B643FE"/>
    <w:rsid w:val="00B6493D"/>
    <w:rsid w:val="00BA0BA2"/>
    <w:rsid w:val="00BA4608"/>
    <w:rsid w:val="00BB1D8D"/>
    <w:rsid w:val="00BD2C4D"/>
    <w:rsid w:val="00BE7156"/>
    <w:rsid w:val="00BF048F"/>
    <w:rsid w:val="00BF4A2C"/>
    <w:rsid w:val="00C366D8"/>
    <w:rsid w:val="00CA00DF"/>
    <w:rsid w:val="00CA2017"/>
    <w:rsid w:val="00CD1992"/>
    <w:rsid w:val="00CE6996"/>
    <w:rsid w:val="00D03BFE"/>
    <w:rsid w:val="00D2288D"/>
    <w:rsid w:val="00D372C1"/>
    <w:rsid w:val="00D429F8"/>
    <w:rsid w:val="00D65DFD"/>
    <w:rsid w:val="00D74BF7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84C3D"/>
    <w:rsid w:val="00E9663D"/>
    <w:rsid w:val="00EB5DE2"/>
    <w:rsid w:val="00EE6AC0"/>
    <w:rsid w:val="00EE7917"/>
    <w:rsid w:val="00F115F6"/>
    <w:rsid w:val="00F36628"/>
    <w:rsid w:val="00F45838"/>
    <w:rsid w:val="00F8132A"/>
    <w:rsid w:val="00F857BF"/>
    <w:rsid w:val="00FC3F97"/>
    <w:rsid w:val="00FD0284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1307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52</cp:revision>
  <cp:lastPrinted>2024-11-14T20:47:00Z</cp:lastPrinted>
  <dcterms:created xsi:type="dcterms:W3CDTF">2024-05-06T18:04:00Z</dcterms:created>
  <dcterms:modified xsi:type="dcterms:W3CDTF">2025-05-05T17:07:00Z</dcterms:modified>
</cp:coreProperties>
</file>