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D455FE">
        <w:rPr>
          <w:rFonts w:ascii="Times New Roman" w:eastAsia="Times New Roman" w:hAnsi="Times New Roman" w:cs="Times New Roman"/>
          <w:b/>
        </w:rPr>
        <w:t>30</w:t>
      </w:r>
      <w:r w:rsidR="00262046">
        <w:rPr>
          <w:rFonts w:ascii="Times New Roman" w:eastAsia="Times New Roman" w:hAnsi="Times New Roman" w:cs="Times New Roman"/>
          <w:b/>
        </w:rPr>
        <w:t xml:space="preserve"> de abril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E75744" w:rsidRPr="00E75744" w:rsidRDefault="00E75744" w:rsidP="00E75744"/>
    <w:p w:rsidR="00E75744" w:rsidRDefault="002D7377" w:rsidP="00E757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</w:t>
      </w:r>
      <w:r w:rsidR="0084510D">
        <w:rPr>
          <w:rFonts w:ascii="Times New Roman" w:eastAsia="Times New Roman" w:hAnsi="Times New Roman" w:cs="Times New Roman"/>
        </w:rPr>
        <w:t xml:space="preserve">a analisar os aspectos legais referentes à </w:t>
      </w:r>
      <w:r w:rsidR="00D455FE">
        <w:rPr>
          <w:rFonts w:ascii="Times New Roman" w:eastAsia="Times New Roman" w:hAnsi="Times New Roman" w:cs="Times New Roman"/>
          <w:b/>
        </w:rPr>
        <w:t>Emenda nº 04</w:t>
      </w:r>
      <w:r w:rsidR="0084510D" w:rsidRPr="0084510D">
        <w:rPr>
          <w:rFonts w:ascii="Times New Roman" w:eastAsia="Times New Roman" w:hAnsi="Times New Roman" w:cs="Times New Roman"/>
          <w:b/>
        </w:rPr>
        <w:t>/2025 ao</w:t>
      </w:r>
      <w:r w:rsidRPr="0084510D">
        <w:rPr>
          <w:rFonts w:ascii="Times New Roman" w:eastAsia="Times New Roman" w:hAnsi="Times New Roman" w:cs="Times New Roman"/>
          <w:b/>
        </w:rPr>
        <w:t xml:space="preserve"> </w:t>
      </w:r>
      <w:r w:rsidR="00DD5F3F" w:rsidRPr="0084510D">
        <w:rPr>
          <w:rFonts w:ascii="Times New Roman" w:eastAsia="Times New Roman" w:hAnsi="Times New Roman" w:cs="Times New Roman"/>
          <w:b/>
        </w:rPr>
        <w:t>P</w:t>
      </w:r>
      <w:r w:rsidR="00DD5F3F">
        <w:rPr>
          <w:rFonts w:ascii="Times New Roman" w:eastAsia="Times New Roman" w:hAnsi="Times New Roman" w:cs="Times New Roman"/>
          <w:b/>
        </w:rPr>
        <w:t xml:space="preserve">rojeto de Lei n° </w:t>
      </w:r>
      <w:r w:rsidR="00262046">
        <w:rPr>
          <w:rFonts w:ascii="Times New Roman" w:eastAsia="Times New Roman" w:hAnsi="Times New Roman" w:cs="Times New Roman"/>
          <w:b/>
        </w:rPr>
        <w:t>1.572</w:t>
      </w:r>
      <w:r w:rsidR="00E75744" w:rsidRPr="00E75744">
        <w:rPr>
          <w:rFonts w:ascii="Times New Roman" w:eastAsia="Times New Roman" w:hAnsi="Times New Roman" w:cs="Times New Roman"/>
          <w:b/>
        </w:rPr>
        <w:t>/2025</w:t>
      </w:r>
      <w:r w:rsidR="00E75744" w:rsidRPr="009C452E">
        <w:rPr>
          <w:rFonts w:ascii="Times New Roman" w:eastAsia="Times New Roman" w:hAnsi="Times New Roman" w:cs="Times New Roman"/>
        </w:rPr>
        <w:t>,</w:t>
      </w:r>
      <w:r w:rsidR="00E75744">
        <w:rPr>
          <w:rFonts w:ascii="Times New Roman" w:eastAsia="Times New Roman" w:hAnsi="Times New Roman" w:cs="Times New Roman"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de autoria do</w:t>
      </w:r>
      <w:r w:rsidR="00262046">
        <w:rPr>
          <w:rFonts w:ascii="Times New Roman" w:eastAsia="Times New Roman" w:hAnsi="Times New Roman" w:cs="Times New Roman"/>
          <w:b/>
        </w:rPr>
        <w:t xml:space="preserve"> Vereador</w:t>
      </w:r>
      <w:r w:rsidR="001F18E2">
        <w:rPr>
          <w:rFonts w:ascii="Times New Roman" w:eastAsia="Times New Roman" w:hAnsi="Times New Roman" w:cs="Times New Roman"/>
          <w:b/>
        </w:rPr>
        <w:t xml:space="preserve"> Israel Russo</w:t>
      </w:r>
      <w:r w:rsidR="00E75744">
        <w:rPr>
          <w:rFonts w:ascii="Times New Roman" w:eastAsia="Times New Roman" w:hAnsi="Times New Roman" w:cs="Times New Roman"/>
        </w:rPr>
        <w:t xml:space="preserve">. 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O referido </w:t>
      </w:r>
      <w:r w:rsidR="00E75744">
        <w:rPr>
          <w:rFonts w:ascii="Times New Roman" w:eastAsia="Times New Roman" w:hAnsi="Times New Roman" w:cs="Times New Roman"/>
          <w:b/>
        </w:rPr>
        <w:t>P</w:t>
      </w:r>
      <w:r w:rsidR="00E75744" w:rsidRPr="00E75744">
        <w:rPr>
          <w:rFonts w:ascii="Times New Roman" w:eastAsia="Times New Roman" w:hAnsi="Times New Roman" w:cs="Times New Roman"/>
          <w:b/>
        </w:rPr>
        <w:t>rojeto</w:t>
      </w:r>
      <w:r w:rsidR="00E75744">
        <w:rPr>
          <w:rFonts w:ascii="Times New Roman" w:eastAsia="Times New Roman" w:hAnsi="Times New Roman" w:cs="Times New Roman"/>
          <w:b/>
        </w:rPr>
        <w:t xml:space="preserve"> de Lei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“</w:t>
      </w:r>
      <w:r w:rsidR="006C0ED6">
        <w:rPr>
          <w:rFonts w:ascii="Times New Roman" w:eastAsia="Times New Roman" w:hAnsi="Times New Roman" w:cs="Times New Roman"/>
          <w:b/>
        </w:rPr>
        <w:t>CRIA A</w:t>
      </w:r>
      <w:r w:rsidR="00262046">
        <w:rPr>
          <w:rFonts w:ascii="Times New Roman" w:eastAsia="Times New Roman" w:hAnsi="Times New Roman" w:cs="Times New Roman"/>
          <w:b/>
        </w:rPr>
        <w:t xml:space="preserve"> GUARDA MUNICIPAL DE POUSO ALEGRE E DÁ OUTRAS PROVIDÊNCIAS.”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</w:p>
    <w:p w:rsidR="00262046" w:rsidRDefault="00262046" w:rsidP="00E757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D7A3C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E75744" w:rsidRDefault="00E75744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Quanto à possibilidade de parlamentares emendarem projetos de lei de iniciativa privativa do chefe do Poder Executivo, importante destacar consolidada jurisprudência do STF</w:t>
      </w:r>
      <w:r w:rsidR="00CC2F22">
        <w:rPr>
          <w:rFonts w:ascii="Times New Roman" w:eastAsiaTheme="minorEastAsia" w:hAnsi="Times New Roman" w:cs="Times New Roman"/>
          <w:color w:val="auto"/>
        </w:rPr>
        <w:t>: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b/>
          <w:i/>
          <w:color w:val="auto"/>
          <w:u w:val="single"/>
        </w:rPr>
      </w:pPr>
      <w:r w:rsidRPr="00CC2F22">
        <w:rPr>
          <w:rFonts w:ascii="Arial" w:eastAsia="Times New Roman" w:hAnsi="Arial" w:cs="Arial"/>
          <w:b/>
          <w:i/>
          <w:color w:val="212529"/>
          <w:u w:val="single"/>
        </w:rPr>
        <w:t xml:space="preserve">As normas constitucionais de processo legislativo não impossibilitam, em regra, a modificação, por meio de emendas parlamentares, dos projetos de lei enviados pelo </w:t>
      </w:r>
      <w:r w:rsidRPr="00CC2F22">
        <w:rPr>
          <w:rFonts w:ascii="Arial" w:eastAsia="Times New Roman" w:hAnsi="Arial" w:cs="Arial"/>
          <w:b/>
          <w:i/>
          <w:color w:val="212529"/>
          <w:u w:val="single"/>
        </w:rPr>
        <w:lastRenderedPageBreak/>
        <w:t xml:space="preserve">chefe do Poder Executivo no exercício de sua iniciativa privativa. Essa atribuição do Poder Legislativo brasileiro esbarra, porém, em duas limitações: a) a impossibilidade de o Parlamento veicular matérias diferentes das versadas no projeto de lei, de modo a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>desfigurá-lo; e b) a impossibilidade de as emendas parlamentares aos projetos de lei de iniciativa do presidente da República, ressalvado o disposto no § 3º e no § 4º do art. 166, implicarem aumento de despesa pública (inciso I do art. 63 da CF).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7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3.114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Ayres Britto, j. 24-8-2005, P, </w:t>
      </w:r>
      <w:r w:rsidRPr="00CC2F22">
        <w:rPr>
          <w:rFonts w:ascii="Arial" w:eastAsia="Times New Roman" w:hAnsi="Arial" w:cs="Arial"/>
          <w:i/>
          <w:iCs/>
          <w:color w:val="auto"/>
        </w:rPr>
        <w:t>DJ </w:t>
      </w:r>
      <w:r w:rsidRPr="00CC2F22">
        <w:rPr>
          <w:rFonts w:ascii="Arial" w:eastAsia="Times New Roman" w:hAnsi="Arial" w:cs="Arial"/>
          <w:i/>
          <w:color w:val="auto"/>
        </w:rPr>
        <w:t>de 7-4-2006.]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b/>
          <w:bCs/>
          <w:i/>
          <w:color w:val="auto"/>
        </w:rPr>
        <w:t>=</w:t>
      </w:r>
      <w:r w:rsidRPr="00CC2F22">
        <w:rPr>
          <w:rFonts w:ascii="Arial" w:eastAsia="Times New Roman" w:hAnsi="Arial" w:cs="Arial"/>
          <w:i/>
          <w:color w:val="auto"/>
        </w:rPr>
        <w:t> </w:t>
      </w:r>
      <w:hyperlink r:id="rId8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2.583</w:t>
        </w:r>
      </w:hyperlink>
      <w:r w:rsidRPr="00CC2F22">
        <w:rPr>
          <w:rFonts w:ascii="Arial" w:eastAsia="Times New Roman" w:hAnsi="Arial" w:cs="Arial"/>
          <w:i/>
          <w:color w:val="auto"/>
        </w:rPr>
        <w:t xml:space="preserve">, rel. min.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Cármen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Lúcia, j. 1º-8-2011,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26-8-2011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O poder de emendar – que não constitui derivação do poder de iniciar o processo de formação das leis – qualifica-se como prerrogativa deferida aos parlamentares, que se sujeitam, no entanto, quanto ao seu exercício, às restrições impostas, em 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numerus</w:t>
      </w:r>
      <w:proofErr w:type="spellEnd"/>
      <w:r w:rsidRPr="00CC2F22">
        <w:rPr>
          <w:rFonts w:ascii="Arial" w:eastAsia="Times New Roman" w:hAnsi="Arial" w:cs="Arial"/>
          <w:i/>
          <w:iCs/>
          <w:color w:val="auto"/>
        </w:rPr>
        <w:t xml:space="preserve"> 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clausus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, pela CF. A CF de 1988, prestigiando o exercício da função parlamentar, afastou muitas das restrições que incidiam, especificamente, no regime constitucional anterior, sobre o poder de emenda reconhecido aos membros do Legislativo. O legislador constituinte, ao assim proceder, certamente pretendeu repudiar a concepção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regalista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de Estado (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32/143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33/107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34/6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 xml:space="preserve">40/348), que suprimiria, caso ainda prevalecesse, o poder de emenda dos membros do Legislativo.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 xml:space="preserve">Revela-se plenamente legítimo, desse modo, o exercício do poder de emenda pelos parlamentares, mesmo quando se tratar de projetos de lei sujeitos à reserva de iniciativa de outros órgãos e Poderes do Estado, incidindo, no entanto, sobre essa prerrogativa parlamentar – que é inerente à atividade legislativa –, as restrições decorrentes do próprio texto constitucional (CF, art. 63, I e II), bem assim aquela fundada na exigência de que as emendas de iniciativa parlamentar sempre guardem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lastRenderedPageBreak/>
        <w:t>relação de pertinência ("afinidade lógica") com o objeto da proposição legislativa.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9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2.681 MC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Celso de Mello, j. 11-9-2002,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25-10-2013.]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Desta forma, é pacífica a possibilidade de os membros do Poder Legislativo </w:t>
      </w:r>
      <w:r w:rsidR="006D7A3C">
        <w:rPr>
          <w:rFonts w:ascii="Times New Roman" w:eastAsiaTheme="minorEastAsia" w:hAnsi="Times New Roman" w:cs="Times New Roman"/>
          <w:color w:val="auto"/>
        </w:rPr>
        <w:t>emendarem</w:t>
      </w:r>
      <w:r>
        <w:rPr>
          <w:rFonts w:ascii="Times New Roman" w:eastAsiaTheme="minorEastAsia" w:hAnsi="Times New Roman" w:cs="Times New Roman"/>
          <w:color w:val="auto"/>
        </w:rPr>
        <w:t xml:space="preserve"> projetos de lei de iniciativa do chefe do Poder Executivo, desde que i) não implique no aumento de despesa pública e </w:t>
      </w:r>
      <w:proofErr w:type="spellStart"/>
      <w:r>
        <w:rPr>
          <w:rFonts w:ascii="Times New Roman" w:eastAsiaTheme="minorEastAsia" w:hAnsi="Times New Roman" w:cs="Times New Roman"/>
          <w:color w:val="auto"/>
        </w:rPr>
        <w:t>ii</w:t>
      </w:r>
      <w:proofErr w:type="spellEnd"/>
      <w:r>
        <w:rPr>
          <w:rFonts w:ascii="Times New Roman" w:eastAsiaTheme="minorEastAsia" w:hAnsi="Times New Roman" w:cs="Times New Roman"/>
          <w:color w:val="auto"/>
        </w:rPr>
        <w:t>) haja pertinência temática com o objeto da proposição legislativa.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Analisando a pr</w:t>
      </w:r>
      <w:r w:rsidR="00954059">
        <w:rPr>
          <w:rFonts w:ascii="Times New Roman" w:eastAsiaTheme="minorEastAsia" w:hAnsi="Times New Roman" w:cs="Times New Roman"/>
          <w:color w:val="auto"/>
        </w:rPr>
        <w:t>esente emenda, observa-se que a modificação proposta além de não gerar</w:t>
      </w:r>
      <w:r>
        <w:rPr>
          <w:rFonts w:ascii="Times New Roman" w:eastAsiaTheme="minorEastAsia" w:hAnsi="Times New Roman" w:cs="Times New Roman"/>
          <w:color w:val="auto"/>
        </w:rPr>
        <w:t xml:space="preserve"> aument</w:t>
      </w:r>
      <w:r w:rsidR="00954059">
        <w:rPr>
          <w:rFonts w:ascii="Times New Roman" w:eastAsiaTheme="minorEastAsia" w:hAnsi="Times New Roman" w:cs="Times New Roman"/>
          <w:color w:val="auto"/>
        </w:rPr>
        <w:t>o de despesa pública, relaciona</w:t>
      </w:r>
      <w:r>
        <w:rPr>
          <w:rFonts w:ascii="Times New Roman" w:eastAsiaTheme="minorEastAsia" w:hAnsi="Times New Roman" w:cs="Times New Roman"/>
          <w:color w:val="auto"/>
        </w:rPr>
        <w:t>-se estritamente ao o</w:t>
      </w:r>
      <w:r w:rsidR="00262046">
        <w:rPr>
          <w:rFonts w:ascii="Times New Roman" w:eastAsiaTheme="minorEastAsia" w:hAnsi="Times New Roman" w:cs="Times New Roman"/>
          <w:color w:val="auto"/>
        </w:rPr>
        <w:t>bjeto do Projeto de Lei n° 1.572</w:t>
      </w:r>
      <w:r>
        <w:rPr>
          <w:rFonts w:ascii="Times New Roman" w:eastAsiaTheme="minorEastAsia" w:hAnsi="Times New Roman" w:cs="Times New Roman"/>
          <w:color w:val="auto"/>
        </w:rPr>
        <w:t>/2025</w:t>
      </w:r>
      <w:r w:rsidR="00D42D4D">
        <w:rPr>
          <w:rFonts w:ascii="Times New Roman" w:eastAsiaTheme="minorEastAsia" w:hAnsi="Times New Roman" w:cs="Times New Roman"/>
          <w:color w:val="auto"/>
        </w:rPr>
        <w:t>, não havendo nenhum tipo de empecilho jurídico.</w:t>
      </w:r>
    </w:p>
    <w:p w:rsidR="00D42D4D" w:rsidRDefault="00D42D4D" w:rsidP="00D42D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 e constitucionais, sendo que a questão de mérito po</w:t>
      </w:r>
      <w:r>
        <w:rPr>
          <w:rFonts w:ascii="Times New Roman" w:eastAsia="Times New Roman" w:hAnsi="Times New Roman" w:cs="Times New Roman"/>
          <w:u w:val="single"/>
        </w:rPr>
        <w:t xml:space="preserve">lítico, quanto à conveniência e </w:t>
      </w:r>
      <w:r w:rsidRPr="00FE4336">
        <w:rPr>
          <w:rFonts w:ascii="Times New Roman" w:eastAsia="Times New Roman" w:hAnsi="Times New Roman" w:cs="Times New Roman"/>
          <w:u w:val="single"/>
        </w:rPr>
        <w:t>oportunidade,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 xml:space="preserve">após análise </w:t>
      </w:r>
      <w:r w:rsidR="00D455FE">
        <w:rPr>
          <w:rFonts w:ascii="Times New Roman" w:eastAsia="Times New Roman" w:hAnsi="Times New Roman" w:cs="Times New Roman"/>
          <w:b/>
          <w:u w:val="single"/>
        </w:rPr>
        <w:t>da Emenda n° 04</w:t>
      </w:r>
      <w:bookmarkStart w:id="0" w:name="_GoBack"/>
      <w:bookmarkEnd w:id="0"/>
      <w:r w:rsidR="007A5B89" w:rsidRPr="00262046">
        <w:rPr>
          <w:rFonts w:ascii="Times New Roman" w:eastAsia="Times New Roman" w:hAnsi="Times New Roman" w:cs="Times New Roman"/>
          <w:b/>
          <w:u w:val="single"/>
        </w:rPr>
        <w:t>/2025</w:t>
      </w:r>
      <w:r w:rsidR="00262046" w:rsidRPr="00262046">
        <w:rPr>
          <w:rFonts w:ascii="Times New Roman" w:eastAsia="Times New Roman" w:hAnsi="Times New Roman" w:cs="Times New Roman"/>
          <w:b/>
          <w:u w:val="single"/>
        </w:rPr>
        <w:t xml:space="preserve"> ao Projeto de Lei n° 1.572/2025</w:t>
      </w:r>
      <w:r w:rsidR="007A5B89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262046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</w:t>
      </w:r>
      <w:r w:rsidR="00262046">
        <w:rPr>
          <w:rFonts w:ascii="Times New Roman" w:eastAsia="Times New Roman" w:hAnsi="Times New Roman" w:cs="Times New Roman"/>
        </w:rPr>
        <w:t>, para ser submetida</w:t>
      </w:r>
      <w:r w:rsidRPr="00BA4608">
        <w:rPr>
          <w:rFonts w:ascii="Times New Roman" w:eastAsia="Times New Roman" w:hAnsi="Times New Roman" w:cs="Times New Roman"/>
        </w:rPr>
        <w:t xml:space="preserve">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</w:t>
      </w:r>
      <w:r w:rsidR="00D42D4D">
        <w:rPr>
          <w:rFonts w:ascii="Times New Roman" w:eastAsia="Times New Roman" w:hAnsi="Times New Roman" w:cs="Times New Roman"/>
        </w:rPr>
        <w:t xml:space="preserve"> que a decisão final a respeito</w:t>
      </w:r>
      <w:r w:rsidRPr="00BA4608">
        <w:rPr>
          <w:rFonts w:ascii="Times New Roman" w:eastAsia="Times New Roman" w:hAnsi="Times New Roman" w:cs="Times New Roman"/>
        </w:rPr>
        <w:t xml:space="preserve">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62046" w:rsidRPr="00262046" w:rsidRDefault="00262046" w:rsidP="00262046">
      <w:pPr>
        <w:ind w:left="2616" w:right="275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262046">
        <w:rPr>
          <w:rFonts w:ascii="Times New Roman" w:hAnsi="Times New Roman" w:cs="Times New Roman"/>
          <w:b/>
          <w:i/>
        </w:rPr>
        <w:t>João Paulo de Aguiar Santos OAB/MG nº 120.847</w:t>
      </w:r>
    </w:p>
    <w:p w:rsidR="007C5BBA" w:rsidRPr="00F36628" w:rsidRDefault="007C5BBA" w:rsidP="00262046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</w:p>
    <w:sectPr w:rsidR="007C5BBA" w:rsidRPr="00F36628">
      <w:footerReference w:type="even" r:id="rId10"/>
      <w:footerReference w:type="default" r:id="rId11"/>
      <w:footerReference w:type="first" r:id="rId12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79" w:rsidRDefault="00460D79">
      <w:pPr>
        <w:spacing w:after="0" w:line="240" w:lineRule="auto"/>
      </w:pPr>
      <w:r>
        <w:separator/>
      </w:r>
    </w:p>
  </w:endnote>
  <w:endnote w:type="continuationSeparator" w:id="0">
    <w:p w:rsidR="00460D79" w:rsidRDefault="0046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Pr="00E01C57" w:rsidRDefault="00D7619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D455FE">
      <w:rPr>
        <w:rFonts w:ascii="Times New Roman" w:hAnsi="Times New Roman" w:cs="Times New Roman"/>
        <w:noProof/>
        <w:sz w:val="20"/>
      </w:rPr>
      <w:t>3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79" w:rsidRDefault="00460D79">
      <w:pPr>
        <w:spacing w:after="0" w:line="240" w:lineRule="auto"/>
      </w:pPr>
      <w:r>
        <w:separator/>
      </w:r>
    </w:p>
  </w:footnote>
  <w:footnote w:type="continuationSeparator" w:id="0">
    <w:p w:rsidR="00460D79" w:rsidRDefault="00460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5738E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1F18E2"/>
    <w:rsid w:val="00211F7D"/>
    <w:rsid w:val="00223F90"/>
    <w:rsid w:val="00262046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25D4F"/>
    <w:rsid w:val="004430E4"/>
    <w:rsid w:val="00457FBC"/>
    <w:rsid w:val="00460D79"/>
    <w:rsid w:val="004777EB"/>
    <w:rsid w:val="00480944"/>
    <w:rsid w:val="00485F4C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B37BD"/>
    <w:rsid w:val="005E215D"/>
    <w:rsid w:val="00634A1C"/>
    <w:rsid w:val="00662250"/>
    <w:rsid w:val="0067789C"/>
    <w:rsid w:val="006802B2"/>
    <w:rsid w:val="0068242F"/>
    <w:rsid w:val="006A57FD"/>
    <w:rsid w:val="006B730A"/>
    <w:rsid w:val="006C0ED6"/>
    <w:rsid w:val="006D7A3C"/>
    <w:rsid w:val="006E76F4"/>
    <w:rsid w:val="006F2FCF"/>
    <w:rsid w:val="00703316"/>
    <w:rsid w:val="0070431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8F3"/>
    <w:rsid w:val="0084510D"/>
    <w:rsid w:val="00847617"/>
    <w:rsid w:val="00847D71"/>
    <w:rsid w:val="00852583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54059"/>
    <w:rsid w:val="00954F2A"/>
    <w:rsid w:val="009710CC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06F3"/>
    <w:rsid w:val="00A4102A"/>
    <w:rsid w:val="00A625F0"/>
    <w:rsid w:val="00A7321A"/>
    <w:rsid w:val="00A950C5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86D82"/>
    <w:rsid w:val="00CA00DF"/>
    <w:rsid w:val="00CA2017"/>
    <w:rsid w:val="00CC2F22"/>
    <w:rsid w:val="00CE6996"/>
    <w:rsid w:val="00D03BFE"/>
    <w:rsid w:val="00D17C4E"/>
    <w:rsid w:val="00D2288D"/>
    <w:rsid w:val="00D372C1"/>
    <w:rsid w:val="00D429F8"/>
    <w:rsid w:val="00D42B61"/>
    <w:rsid w:val="00D42D4D"/>
    <w:rsid w:val="00D455FE"/>
    <w:rsid w:val="00D57CF4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75744"/>
    <w:rsid w:val="00E84C3D"/>
    <w:rsid w:val="00E869A9"/>
    <w:rsid w:val="00E96477"/>
    <w:rsid w:val="00EB5DE2"/>
    <w:rsid w:val="00ED6967"/>
    <w:rsid w:val="00EE7917"/>
    <w:rsid w:val="00EF38E3"/>
    <w:rsid w:val="00F115F6"/>
    <w:rsid w:val="00F36628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character" w:styleId="Forte">
    <w:name w:val="Strong"/>
    <w:basedOn w:val="Fontepargpadro"/>
    <w:uiPriority w:val="22"/>
    <w:qFormat/>
    <w:rsid w:val="00CC2F2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2F2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C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AC&amp;docID=6266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r.stf.jus.br/paginadorpub/paginador.jsp?docTP=AC&amp;docID=36331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dir.stf.jus.br/paginadorpub/paginador.jsp?docTP=AC&amp;docID=630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5E91-F969-4F5C-AC86-61F2289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56</cp:revision>
  <cp:lastPrinted>2024-11-14T20:47:00Z</cp:lastPrinted>
  <dcterms:created xsi:type="dcterms:W3CDTF">2024-05-06T18:04:00Z</dcterms:created>
  <dcterms:modified xsi:type="dcterms:W3CDTF">2025-04-30T17:30:00Z</dcterms:modified>
</cp:coreProperties>
</file>