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sinalização com placas e a pintura de todos os redutores de velocidade existentes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reclamaram do risco de acidentes com consequências graves e prejuízos em seus veículos, devido à falta de sinalização e de pintura dos redutores de velocidade do bairro, especialmente em período noturno, em que a visibilidade é ainda menor.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