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B37F8">
        <w:rPr>
          <w:rFonts w:ascii="Times New Roman" w:eastAsia="Times New Roman" w:hAnsi="Times New Roman" w:cs="Times New Roman"/>
          <w:b/>
        </w:rPr>
        <w:t>09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B37F8">
        <w:rPr>
          <w:rFonts w:ascii="Times New Roman" w:eastAsia="Times New Roman" w:hAnsi="Times New Roman" w:cs="Times New Roman"/>
          <w:b/>
        </w:rPr>
        <w:t>dez</w:t>
      </w:r>
      <w:r w:rsidR="00AA0861">
        <w:rPr>
          <w:rFonts w:ascii="Times New Roman" w:eastAsia="Times New Roman" w:hAnsi="Times New Roman" w:cs="Times New Roman"/>
          <w:b/>
        </w:rPr>
        <w:t>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6C3915">
        <w:rPr>
          <w:rFonts w:ascii="Times New Roman" w:eastAsia="Times New Roman" w:hAnsi="Times New Roman" w:cs="Times New Roman"/>
          <w:b/>
        </w:rPr>
        <w:t>66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6C3915" w:rsidRPr="006C3915">
        <w:rPr>
          <w:rFonts w:ascii="Times New Roman" w:eastAsia="Times New Roman" w:hAnsi="Times New Roman" w:cs="Times New Roman"/>
          <w:b/>
        </w:rPr>
        <w:t>Oliveira Altair</w:t>
      </w:r>
      <w:bookmarkStart w:id="0" w:name="_GoBack"/>
      <w:bookmarkEnd w:id="0"/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2A64CB" w:rsidRPr="002A64CB">
        <w:rPr>
          <w:rFonts w:ascii="Times New Roman" w:hAnsi="Times New Roman" w:cs="Times New Roman"/>
          <w:b/>
        </w:rPr>
        <w:t xml:space="preserve">PRÉDIO PÚBLICO: </w:t>
      </w:r>
      <w:r w:rsidR="00A15652" w:rsidRPr="00A15652">
        <w:rPr>
          <w:rFonts w:ascii="Times New Roman" w:hAnsi="Times New Roman" w:cs="Times New Roman"/>
          <w:b/>
        </w:rPr>
        <w:t>ROTATÓRIA ALTIDORO JOSÉ RIOS VIEIRA (*1955 +2024)</w:t>
      </w:r>
      <w:r w:rsidR="00A15652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A15652" w:rsidRPr="00A15652">
        <w:rPr>
          <w:rFonts w:ascii="Times New Roman" w:eastAsia="Times New Roman" w:hAnsi="Times New Roman" w:cs="Times New Roman"/>
        </w:rPr>
        <w:t xml:space="preserve">Rotatória </w:t>
      </w:r>
      <w:proofErr w:type="spellStart"/>
      <w:r w:rsidR="00A15652" w:rsidRPr="00A15652">
        <w:rPr>
          <w:rFonts w:ascii="Times New Roman" w:eastAsia="Times New Roman" w:hAnsi="Times New Roman" w:cs="Times New Roman"/>
        </w:rPr>
        <w:t>Altidoro</w:t>
      </w:r>
      <w:proofErr w:type="spellEnd"/>
      <w:r w:rsidR="00A15652" w:rsidRPr="00A15652">
        <w:rPr>
          <w:rFonts w:ascii="Times New Roman" w:eastAsia="Times New Roman" w:hAnsi="Times New Roman" w:cs="Times New Roman"/>
        </w:rPr>
        <w:t xml:space="preserve"> José Rios Vieira, a atual rotatória sem denominação, localizada no encontro entre a Rua João Vieira e a Avenida Francisca Rodrigues da Cunha, no bairro </w:t>
      </w:r>
      <w:proofErr w:type="spellStart"/>
      <w:r w:rsidR="00A15652" w:rsidRPr="00A15652">
        <w:rPr>
          <w:rFonts w:ascii="Times New Roman" w:eastAsia="Times New Roman" w:hAnsi="Times New Roman" w:cs="Times New Roman"/>
        </w:rPr>
        <w:t>Pintagueiras</w:t>
      </w:r>
      <w:proofErr w:type="spellEnd"/>
      <w:r w:rsidR="002A64CB" w:rsidRPr="002A64CB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F3DEC" w:rsidRPr="00FF3DEC" w:rsidRDefault="00FF3DEC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A15652">
        <w:rPr>
          <w:rFonts w:ascii="Times New Roman" w:eastAsia="Times New Roman" w:hAnsi="Times New Roman" w:cs="Times New Roman"/>
          <w:b/>
        </w:rPr>
        <w:t>66</w:t>
      </w:r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 w:rsidSect="00A15652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20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6C3915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C3915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15652"/>
    <w:rsid w:val="00A313F0"/>
    <w:rsid w:val="00A4102A"/>
    <w:rsid w:val="00A7321A"/>
    <w:rsid w:val="00AA0861"/>
    <w:rsid w:val="00AB37F8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1147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30</cp:revision>
  <cp:lastPrinted>2024-11-14T20:47:00Z</cp:lastPrinted>
  <dcterms:created xsi:type="dcterms:W3CDTF">2024-05-06T18:04:00Z</dcterms:created>
  <dcterms:modified xsi:type="dcterms:W3CDTF">2024-12-10T17:54:00Z</dcterms:modified>
</cp:coreProperties>
</file>