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PROJETO DE LEI Nº 7274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IMPLANTAÇÃO DA DISCIPLINA OBRIGATÓRIA DE “NOÇÕES DE DIREITO E CIDADANIA” EM TODAS AS ESCOLAS MUNICIPAIS NO MUNICÍPIO DE POUSO ALEGRE – MINAS GERAIS.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A6DD2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Passa a ser conteúdo obrigatório da grade curricular das escolas públicas municipais, do primeiro ano do ensino fundamental ao terceiro ano do ensino médio, a disciplina intitulada de "NOÇÕES DE DIREITO E CIDADANIA".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 Será destinada uma hora-aula por semana à disciplina constante do artigo 1º.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3º  O critério de avaliação será o mesmo adotado para as demais disciplinas constantes das diretrizes curriculares.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4º  A disciplina será obrigatoriamente ministrada por professores com formação superior em Direito.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5º  Os temas abordados na disciplina de Noções de Direito e Cidadania serão:</w:t>
      </w:r>
    </w:p>
    <w:p w:rsidR="004A6DD2" w:rsidRDefault="004A6DD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C94212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Direito Constitucional:</w:t>
      </w:r>
      <w:r>
        <w:rPr>
          <w:rFonts w:ascii="Times New Roman" w:eastAsia="Times New Roman" w:hAnsi="Times New Roman"/>
          <w:color w:val="000000"/>
        </w:rPr>
        <w:br/>
        <w:t>a) Princípios Fundamentais;</w:t>
      </w:r>
      <w:r>
        <w:rPr>
          <w:rFonts w:ascii="Times New Roman" w:eastAsia="Times New Roman" w:hAnsi="Times New Roman"/>
          <w:color w:val="000000"/>
        </w:rPr>
        <w:br/>
        <w:t>b) Direitos e Deveres Individuais e Coletivos;</w:t>
      </w:r>
      <w:r>
        <w:rPr>
          <w:rFonts w:ascii="Times New Roman" w:eastAsia="Times New Roman" w:hAnsi="Times New Roman"/>
          <w:color w:val="000000"/>
        </w:rPr>
        <w:br/>
        <w:t>c) Direitos Sociais;</w:t>
      </w:r>
      <w:r>
        <w:rPr>
          <w:rFonts w:ascii="Times New Roman" w:eastAsia="Times New Roman" w:hAnsi="Times New Roman"/>
          <w:color w:val="000000"/>
        </w:rPr>
        <w:br/>
        <w:t>d) Direitos Políticos;</w:t>
      </w:r>
      <w:r>
        <w:rPr>
          <w:rFonts w:ascii="Times New Roman" w:eastAsia="Times New Roman" w:hAnsi="Times New Roman"/>
          <w:color w:val="000000"/>
        </w:rPr>
        <w:br/>
        <w:t>e) Organização dos Poderes, contido nos artigos 44 a 52 da Constituição Federal de 1988;</w:t>
      </w:r>
      <w:r>
        <w:rPr>
          <w:rFonts w:ascii="Times New Roman" w:eastAsia="Times New Roman" w:hAnsi="Times New Roman"/>
          <w:color w:val="000000"/>
        </w:rPr>
        <w:br/>
        <w:t>f) Processo Legislativo;</w:t>
      </w:r>
      <w:r>
        <w:rPr>
          <w:rFonts w:ascii="Times New Roman" w:eastAsia="Times New Roman" w:hAnsi="Times New Roman"/>
          <w:color w:val="000000"/>
        </w:rPr>
        <w:br/>
        <w:t>g) Poder Executivo, contido nos artigos 76 a 84 da Constituição Federal de 1988;</w:t>
      </w:r>
      <w:r>
        <w:rPr>
          <w:rFonts w:ascii="Times New Roman" w:eastAsia="Times New Roman" w:hAnsi="Times New Roman"/>
          <w:color w:val="000000"/>
        </w:rPr>
        <w:br/>
        <w:t>h) Poder Judiciário, contido nos artigos 92, 101, 102, 104 a 115 e 118 a 120 da Constituição Federal de 1988;</w:t>
      </w:r>
      <w:r>
        <w:rPr>
          <w:rFonts w:ascii="Times New Roman" w:eastAsia="Times New Roman" w:hAnsi="Times New Roman"/>
          <w:color w:val="000000"/>
        </w:rPr>
        <w:br/>
        <w:t>i) Funções Essenciais à Justiça, contido nos artigos 127 a 135 da Constituição Federal de 1988.</w:t>
      </w:r>
      <w:r>
        <w:rPr>
          <w:rFonts w:ascii="Times New Roman" w:eastAsia="Times New Roman" w:hAnsi="Times New Roman"/>
          <w:color w:val="000000"/>
        </w:rPr>
        <w:br/>
        <w:t>II - Direito do Consumidor:</w:t>
      </w:r>
      <w:r>
        <w:rPr>
          <w:rFonts w:ascii="Times New Roman" w:eastAsia="Times New Roman" w:hAnsi="Times New Roman"/>
          <w:color w:val="000000"/>
        </w:rPr>
        <w:br/>
        <w:t>a) Disposições Gerais;</w:t>
      </w:r>
      <w:r>
        <w:rPr>
          <w:rFonts w:ascii="Times New Roman" w:eastAsia="Times New Roman" w:hAnsi="Times New Roman"/>
          <w:color w:val="000000"/>
        </w:rPr>
        <w:br/>
        <w:t>b) Política Nacional de Relações de Consumo;</w:t>
      </w:r>
      <w:r>
        <w:rPr>
          <w:rFonts w:ascii="Times New Roman" w:eastAsia="Times New Roman" w:hAnsi="Times New Roman"/>
          <w:color w:val="000000"/>
        </w:rPr>
        <w:br/>
        <w:t>c) Direitos Básicos do Consumidor;</w:t>
      </w:r>
      <w:r>
        <w:rPr>
          <w:rFonts w:ascii="Times New Roman" w:eastAsia="Times New Roman" w:hAnsi="Times New Roman"/>
          <w:color w:val="000000"/>
        </w:rPr>
        <w:br/>
        <w:t>d) Proteção à Saúde e Segurança;</w:t>
      </w:r>
      <w:r>
        <w:rPr>
          <w:rFonts w:ascii="Times New Roman" w:eastAsia="Times New Roman" w:hAnsi="Times New Roman"/>
          <w:color w:val="000000"/>
        </w:rPr>
        <w:br/>
        <w:t>e) Responsabilidade pelo Fato do Produto e do Serviço;</w:t>
      </w:r>
      <w:r>
        <w:rPr>
          <w:rFonts w:ascii="Times New Roman" w:eastAsia="Times New Roman" w:hAnsi="Times New Roman"/>
          <w:color w:val="000000"/>
        </w:rPr>
        <w:br/>
        <w:t>f) Responsabilidade pelo Vício do Produto e do Serviço;</w:t>
      </w:r>
      <w:r>
        <w:rPr>
          <w:rFonts w:ascii="Times New Roman" w:eastAsia="Times New Roman" w:hAnsi="Times New Roman"/>
          <w:color w:val="000000"/>
        </w:rPr>
        <w:br/>
        <w:t>g) Decadência e Prescrição;</w:t>
      </w:r>
      <w:r>
        <w:rPr>
          <w:rFonts w:ascii="Times New Roman" w:eastAsia="Times New Roman" w:hAnsi="Times New Roman"/>
          <w:color w:val="000000"/>
        </w:rPr>
        <w:br/>
        <w:t>h) Práticas Comerciais;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>i) Proteção Contratual.</w:t>
      </w:r>
      <w:r>
        <w:rPr>
          <w:rFonts w:ascii="Times New Roman" w:eastAsia="Times New Roman" w:hAnsi="Times New Roman"/>
          <w:color w:val="000000"/>
        </w:rPr>
        <w:br/>
        <w:t>III - Estatuto da Criança e do Adolescente:</w:t>
      </w:r>
      <w:r>
        <w:rPr>
          <w:rFonts w:ascii="Times New Roman" w:eastAsia="Times New Roman" w:hAnsi="Times New Roman"/>
          <w:color w:val="000000"/>
        </w:rPr>
        <w:br/>
        <w:t>a) Disposições Preliminares;</w:t>
      </w:r>
      <w:r>
        <w:rPr>
          <w:rFonts w:ascii="Times New Roman" w:eastAsia="Times New Roman" w:hAnsi="Times New Roman"/>
          <w:color w:val="000000"/>
        </w:rPr>
        <w:br/>
        <w:t>b) Direitos Fundamentais;</w:t>
      </w:r>
      <w:r>
        <w:rPr>
          <w:rFonts w:ascii="Times New Roman" w:eastAsia="Times New Roman" w:hAnsi="Times New Roman"/>
          <w:color w:val="000000"/>
        </w:rPr>
        <w:br/>
        <w:t>c) Prevenção;</w:t>
      </w:r>
      <w:r>
        <w:rPr>
          <w:rFonts w:ascii="Times New Roman" w:eastAsia="Times New Roman" w:hAnsi="Times New Roman"/>
          <w:color w:val="000000"/>
        </w:rPr>
        <w:br/>
        <w:t>d) Medidas de Proteção;</w:t>
      </w:r>
      <w:r>
        <w:rPr>
          <w:rFonts w:ascii="Times New Roman" w:eastAsia="Times New Roman" w:hAnsi="Times New Roman"/>
          <w:color w:val="000000"/>
        </w:rPr>
        <w:br/>
        <w:t>e) Ato Infracional;</w:t>
      </w:r>
      <w:r>
        <w:rPr>
          <w:rFonts w:ascii="Times New Roman" w:eastAsia="Times New Roman" w:hAnsi="Times New Roman"/>
          <w:color w:val="000000"/>
        </w:rPr>
        <w:br/>
        <w:t>f) Direitos Individuais;</w:t>
      </w:r>
      <w:r>
        <w:rPr>
          <w:rFonts w:ascii="Times New Roman" w:eastAsia="Times New Roman" w:hAnsi="Times New Roman"/>
          <w:color w:val="000000"/>
        </w:rPr>
        <w:br/>
        <w:t>g) Garantias Processuais;</w:t>
      </w:r>
      <w:r>
        <w:rPr>
          <w:rFonts w:ascii="Times New Roman" w:eastAsia="Times New Roman" w:hAnsi="Times New Roman"/>
          <w:color w:val="000000"/>
        </w:rPr>
        <w:br/>
        <w:t>h) Medidas Socioeducativas;</w:t>
      </w:r>
      <w:r>
        <w:rPr>
          <w:rFonts w:ascii="Times New Roman" w:eastAsia="Times New Roman" w:hAnsi="Times New Roman"/>
          <w:color w:val="000000"/>
        </w:rPr>
        <w:br/>
        <w:t>i) Atribuições do Conselho Tutelar.</w:t>
      </w:r>
      <w:r>
        <w:rPr>
          <w:rFonts w:ascii="Times New Roman" w:eastAsia="Times New Roman" w:hAnsi="Times New Roman"/>
          <w:color w:val="000000"/>
        </w:rPr>
        <w:br/>
        <w:t>IV - Estatuto do Idoso:</w:t>
      </w:r>
      <w:r>
        <w:rPr>
          <w:rFonts w:ascii="Times New Roman" w:eastAsia="Times New Roman" w:hAnsi="Times New Roman"/>
          <w:color w:val="000000"/>
        </w:rPr>
        <w:br/>
        <w:t>a) Disposições Preliminares;</w:t>
      </w:r>
      <w:r>
        <w:rPr>
          <w:rFonts w:ascii="Times New Roman" w:eastAsia="Times New Roman" w:hAnsi="Times New Roman"/>
          <w:color w:val="000000"/>
        </w:rPr>
        <w:br/>
        <w:t>b) Direitos Fundamentais;</w:t>
      </w:r>
      <w:r>
        <w:rPr>
          <w:rFonts w:ascii="Times New Roman" w:eastAsia="Times New Roman" w:hAnsi="Times New Roman"/>
          <w:color w:val="000000"/>
        </w:rPr>
        <w:br/>
        <w:t>c) Medidas de Proteção;</w:t>
      </w:r>
      <w:r>
        <w:rPr>
          <w:rFonts w:ascii="Times New Roman" w:eastAsia="Times New Roman" w:hAnsi="Times New Roman"/>
          <w:color w:val="000000"/>
        </w:rPr>
        <w:br/>
        <w:t>d) Crimes.</w:t>
      </w:r>
      <w:r>
        <w:rPr>
          <w:rFonts w:ascii="Times New Roman" w:eastAsia="Times New Roman" w:hAnsi="Times New Roman"/>
          <w:color w:val="000000"/>
        </w:rPr>
        <w:br/>
        <w:t>V - Estatuto da Pessoa com Deficiência:</w:t>
      </w:r>
      <w:r>
        <w:rPr>
          <w:rFonts w:ascii="Times New Roman" w:eastAsia="Times New Roman" w:hAnsi="Times New Roman"/>
          <w:color w:val="000000"/>
        </w:rPr>
        <w:br/>
        <w:t>a) Disposições Preliminares;</w:t>
      </w:r>
      <w:r>
        <w:rPr>
          <w:rFonts w:ascii="Times New Roman" w:eastAsia="Times New Roman" w:hAnsi="Times New Roman"/>
          <w:color w:val="000000"/>
        </w:rPr>
        <w:br/>
        <w:t>b) Direitos Fundamentais;</w:t>
      </w:r>
      <w:r>
        <w:rPr>
          <w:rFonts w:ascii="Times New Roman" w:eastAsia="Times New Roman" w:hAnsi="Times New Roman"/>
          <w:color w:val="000000"/>
        </w:rPr>
        <w:br/>
        <w:t>c) Acessibilidade;</w:t>
      </w:r>
      <w:r>
        <w:rPr>
          <w:rFonts w:ascii="Times New Roman" w:eastAsia="Times New Roman" w:hAnsi="Times New Roman"/>
          <w:color w:val="000000"/>
        </w:rPr>
        <w:br/>
        <w:t>d) Crimes e Infrações Administrativas.</w:t>
      </w:r>
      <w:r>
        <w:rPr>
          <w:rFonts w:ascii="Times New Roman" w:eastAsia="Times New Roman" w:hAnsi="Times New Roman"/>
          <w:color w:val="000000"/>
        </w:rPr>
        <w:br/>
        <w:t>VI - Composição Extrajudicial de Conflitos:</w:t>
      </w:r>
      <w:r>
        <w:rPr>
          <w:rFonts w:ascii="Times New Roman" w:eastAsia="Times New Roman" w:hAnsi="Times New Roman"/>
          <w:color w:val="000000"/>
        </w:rPr>
        <w:br/>
        <w:t>a) Distinção entre Mediação, Conciliação e Arbitragem;</w:t>
      </w:r>
      <w:r>
        <w:rPr>
          <w:rFonts w:ascii="Times New Roman" w:eastAsia="Times New Roman" w:hAnsi="Times New Roman"/>
          <w:color w:val="000000"/>
        </w:rPr>
        <w:br/>
        <w:t>b) Princípios da Comunicação Interpessoal;</w:t>
      </w:r>
      <w:r>
        <w:rPr>
          <w:rFonts w:ascii="Times New Roman" w:eastAsia="Times New Roman" w:hAnsi="Times New Roman"/>
          <w:color w:val="000000"/>
        </w:rPr>
        <w:br/>
        <w:t>c) Processo de Comunicação;</w:t>
      </w:r>
      <w:r>
        <w:rPr>
          <w:rFonts w:ascii="Times New Roman" w:eastAsia="Times New Roman" w:hAnsi="Times New Roman"/>
          <w:color w:val="000000"/>
        </w:rPr>
        <w:br/>
        <w:t>d) Teoria dos Conflitos;</w:t>
      </w:r>
      <w:r>
        <w:rPr>
          <w:rFonts w:ascii="Times New Roman" w:eastAsia="Times New Roman" w:hAnsi="Times New Roman"/>
          <w:color w:val="000000"/>
        </w:rPr>
        <w:br/>
        <w:t>e) Técnicas de Mediação;</w:t>
      </w:r>
      <w:r>
        <w:rPr>
          <w:rFonts w:ascii="Times New Roman" w:eastAsia="Times New Roman" w:hAnsi="Times New Roman"/>
          <w:color w:val="000000"/>
        </w:rPr>
        <w:br/>
        <w:t>f) Prática Simulada de Mediação.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7º  A Prefeitura Municipal regulamentará a presente Lei, no que couber, no prazo de 30 (trinta) dias após a sua promulgação.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8º  Publicada a presente Lei, deverá ser implementada em todas as escolas municipais no primeiro dia do primeiro ano letivo subsequente à data de sua publicação.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9º 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4A6DD2" w:rsidRDefault="004A6DD2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consiste na implantação de uma nova disciplina obrigatória em todas as escolas públicas municipais, do primeiro ano do ensino fundamental ao terceiro ano do ensino médio.</w:t>
      </w:r>
      <w:r>
        <w:rPr>
          <w:rFonts w:ascii="Times New Roman" w:hAnsi="Times New Roman" w:cs="Times New Roman"/>
        </w:rPr>
        <w:br/>
        <w:t>A nova disciplina, intitulada “Noções de Direito e Cidadania”, consiste no estudo de material legal essencial à formação de uma consciência jurídica compatível com os ideais do “Estado Democrático de Direito”.</w:t>
      </w:r>
      <w:r>
        <w:rPr>
          <w:rFonts w:ascii="Times New Roman" w:hAnsi="Times New Roman" w:cs="Times New Roman"/>
        </w:rPr>
        <w:br/>
        <w:t>Não é pertinente que em uma Nação pautada pela democracia e pelo direito a maior parte da população permaneça sob o véu da ignorância no que tange aos seus direitos e deveres, haja vista que, embora todos possam ter acesso à letra da lei, poucos são capazes de compreendê-la, o que torna a legislação essencialmente inacessível.</w:t>
      </w:r>
      <w:r>
        <w:rPr>
          <w:rFonts w:ascii="Times New Roman" w:hAnsi="Times New Roman" w:cs="Times New Roman"/>
        </w:rPr>
        <w:br/>
        <w:t>O presente projeto de lei amplia a eficácia do princípio da Publicidade, vez que aproxima o cidadão do direito desde o início da terceira infância, aos seis anos, quando começa a desenvolver o raciocínio lógico, possibilitando que a lógica jurídica se desenvolva gradualmente e continuamente ao longo do tempo que compreende o ensino fundamental e o ensino médio, passando a compor naturalmente as competências do indivíduo.</w:t>
      </w:r>
      <w:r>
        <w:rPr>
          <w:rFonts w:ascii="Times New Roman" w:hAnsi="Times New Roman" w:cs="Times New Roman"/>
        </w:rPr>
        <w:br/>
        <w:t>Além do benefício direto à população, que passará a efetivamente conhecer e compreender seus direitos e deveres, o desenvolvimento da consciência jurídica está intimamente relacionado à efetivação dos objetivos constitucionais previstos no artigo 1ª, incisos II e III, da Lei Fundamental, cidadania e dignidade da pessoa humana, bem como assegura a efetivação de direitos sociais e individuais previstos no artigo 3º, incisos I e II, da mesma Carta, quais sejam, a construção de uma sociedade livre justa e solidária e a garantia do desenvolvimento nacional.</w:t>
      </w:r>
      <w:r>
        <w:rPr>
          <w:rFonts w:ascii="Times New Roman" w:hAnsi="Times New Roman" w:cs="Times New Roman"/>
        </w:rPr>
        <w:br/>
        <w:t>Cabe ainda destacar que concorrer, no âmbito de sua competência, para a consecução dos objetivos fundamentais da Nação e assegurar, no seu território, a efetivação dos direitos sociais e individuais elencados na Constituição Federal é previsão constante do artigo 4º da Lei Orgânica do Município de Pouso Alegre.</w:t>
      </w:r>
      <w:r>
        <w:rPr>
          <w:rFonts w:ascii="Times New Roman" w:hAnsi="Times New Roman" w:cs="Times New Roman"/>
        </w:rPr>
        <w:br/>
        <w:t>Por fim, cabe mencionar a previsão constante do artigo 30º, inciso I, da Constituição Federal, que confere ao Município legitimidade e competência para legislar acerca de assuntos de interesse local.</w:t>
      </w:r>
      <w:r>
        <w:rPr>
          <w:rFonts w:ascii="Times New Roman" w:hAnsi="Times New Roman" w:cs="Times New Roman"/>
        </w:rPr>
        <w:br/>
        <w:t>Embora educação e cidadania sejam temas de interesse geral, no caso em tela, o município é o berço e a sede da tradicional Faculdade de Direito do Sul de Minas, fato que, além de gerar profissionais capacitados para ministrar as aulas, concorre para que o Município se torne referência na efetivação e valorização dos direitos e da cidadania.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0D" w:rsidRDefault="00477B0D" w:rsidP="00FE475D">
      <w:r>
        <w:separator/>
      </w:r>
    </w:p>
  </w:endnote>
  <w:endnote w:type="continuationSeparator" w:id="0">
    <w:p w:rsidR="00477B0D" w:rsidRDefault="00477B0D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0067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77B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77B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77B0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77B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0D" w:rsidRDefault="00477B0D" w:rsidP="00FE475D">
      <w:r>
        <w:separator/>
      </w:r>
    </w:p>
  </w:footnote>
  <w:footnote w:type="continuationSeparator" w:id="0">
    <w:p w:rsidR="00477B0D" w:rsidRDefault="00477B0D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77B0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65D5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77B0D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477B0D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77B0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77B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4241AC"/>
    <w:rsid w:val="00477B0D"/>
    <w:rsid w:val="004A45DE"/>
    <w:rsid w:val="004A6DD2"/>
    <w:rsid w:val="006C3FC6"/>
    <w:rsid w:val="006E5AF1"/>
    <w:rsid w:val="007076AC"/>
    <w:rsid w:val="007329F7"/>
    <w:rsid w:val="00761A8C"/>
    <w:rsid w:val="00800678"/>
    <w:rsid w:val="00875765"/>
    <w:rsid w:val="008926B6"/>
    <w:rsid w:val="008C38D8"/>
    <w:rsid w:val="00920AA9"/>
    <w:rsid w:val="009B40CC"/>
    <w:rsid w:val="00A05C02"/>
    <w:rsid w:val="00A65D54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F2BD73-CAE2-4A24-AD06-317303E6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gab09pc02</cp:lastModifiedBy>
  <cp:revision>2</cp:revision>
  <dcterms:created xsi:type="dcterms:W3CDTF">2017-03-23T16:50:00Z</dcterms:created>
  <dcterms:modified xsi:type="dcterms:W3CDTF">2017-03-23T16:50:00Z</dcterms:modified>
</cp:coreProperties>
</file>