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regulamentação urgente da Lei Municipal nº 5.617, de 2015, que DISPÕE SOBRE REMOÇÃO DE VEÍCULOS ABANDONADOS EM VIA PÚBLICA NO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existência de Lei em vigor não regulamentada sobre o tema é geradora de diversos transtornos, deixando o município à merce de situações de vulnerabilidade jurídica e operacional no que diz respeito ao recolhimento de veículos abandonados, usados frequentemente para práticas de tráfico e consumo de entorpecentes, criadouros de mosquitos, além do óbvio impacto nos aspectos de urbanidade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