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14" w:rsidRPr="00A07D14" w:rsidRDefault="00A07D14" w:rsidP="00A07D14">
      <w:pPr>
        <w:pStyle w:val="SemEspaamento"/>
        <w:jc w:val="center"/>
        <w:rPr>
          <w:rFonts w:ascii="Times New Roman" w:hAnsi="Times New Roman" w:cs="Times New Roman"/>
          <w:b/>
        </w:rPr>
      </w:pPr>
      <w:r w:rsidRPr="00A07D14">
        <w:rPr>
          <w:rFonts w:ascii="Times New Roman" w:hAnsi="Times New Roman" w:cs="Times New Roman"/>
          <w:b/>
        </w:rPr>
        <w:t>PROJETO DE LEI Nº 1.548</w:t>
      </w:r>
      <w:r>
        <w:rPr>
          <w:rFonts w:ascii="Times New Roman" w:hAnsi="Times New Roman" w:cs="Times New Roman"/>
          <w:b/>
        </w:rPr>
        <w:t xml:space="preserve"> /</w:t>
      </w:r>
      <w:r w:rsidRPr="00A07D14">
        <w:rPr>
          <w:rFonts w:ascii="Times New Roman" w:hAnsi="Times New Roman" w:cs="Times New Roman"/>
          <w:b/>
        </w:rPr>
        <w:t xml:space="preserve"> 2024</w:t>
      </w:r>
    </w:p>
    <w:p w:rsidR="00A07D14" w:rsidRDefault="00A07D14" w:rsidP="00A07D14">
      <w:pPr>
        <w:pStyle w:val="SemEspaamento"/>
        <w:jc w:val="both"/>
        <w:rPr>
          <w:rFonts w:ascii="Times New Roman" w:hAnsi="Times New Roman" w:cs="Times New Roman"/>
          <w:szCs w:val="20"/>
          <w:shd w:val="clear" w:color="auto" w:fill="FFFFFF"/>
        </w:rPr>
      </w:pPr>
    </w:p>
    <w:p w:rsidR="00A07D14" w:rsidRPr="00A07D14" w:rsidRDefault="00A07D14" w:rsidP="00A07D14">
      <w:pPr>
        <w:pStyle w:val="SemEspaamento"/>
        <w:jc w:val="both"/>
        <w:rPr>
          <w:rFonts w:ascii="Times New Roman" w:hAnsi="Times New Roman" w:cs="Times New Roman"/>
          <w:szCs w:val="20"/>
          <w:shd w:val="clear" w:color="auto" w:fill="FFFFFF"/>
        </w:rPr>
      </w:pPr>
    </w:p>
    <w:p w:rsidR="00A07D14" w:rsidRPr="00A07D14" w:rsidRDefault="00A07D14" w:rsidP="00A07D14">
      <w:pPr>
        <w:pStyle w:val="SemEspaamento"/>
        <w:ind w:left="5103"/>
        <w:jc w:val="both"/>
        <w:rPr>
          <w:rFonts w:ascii="Times New Roman" w:hAnsi="Times New Roman" w:cs="Times New Roman"/>
          <w:b/>
          <w:szCs w:val="20"/>
          <w:shd w:val="clear" w:color="auto" w:fill="FFFFFF"/>
        </w:rPr>
      </w:pPr>
      <w:r w:rsidRPr="00A07D14">
        <w:rPr>
          <w:rFonts w:ascii="Times New Roman" w:hAnsi="Times New Roman" w:cs="Times New Roman"/>
          <w:b/>
          <w:szCs w:val="20"/>
          <w:shd w:val="clear" w:color="auto" w:fill="FFFFFF"/>
        </w:rPr>
        <w:t>AUTORIZA, EM CARÁTER EXCEPCIONAL, A RENOVAÇÃO E ALTERAÇÃO DE ALVARÁ DE LOCALIZAÇÃO E FUNCIONAMENTO NOS CASOS QUE ESPECIFICA E DÁ OUTRAS PROVIDÊNCIAS.</w:t>
      </w:r>
    </w:p>
    <w:p w:rsidR="00A07D14" w:rsidRPr="00A07D14" w:rsidRDefault="00A07D14" w:rsidP="00A07D14">
      <w:pPr>
        <w:pStyle w:val="SemEspaamento"/>
        <w:ind w:left="5103"/>
        <w:jc w:val="both"/>
        <w:rPr>
          <w:rFonts w:ascii="Times New Roman" w:hAnsi="Times New Roman" w:cs="Times New Roman"/>
          <w:szCs w:val="20"/>
        </w:rPr>
      </w:pPr>
    </w:p>
    <w:p w:rsidR="00A07D14" w:rsidRPr="00A07D14" w:rsidRDefault="00A07D14" w:rsidP="00A07D14">
      <w:pPr>
        <w:pStyle w:val="SemEspaamento"/>
        <w:ind w:left="5103"/>
        <w:jc w:val="both"/>
        <w:rPr>
          <w:rFonts w:ascii="Times New Roman" w:hAnsi="Times New Roman" w:cs="Times New Roman"/>
          <w:b/>
          <w:bCs/>
          <w:sz w:val="20"/>
          <w:szCs w:val="20"/>
        </w:rPr>
      </w:pPr>
      <w:r w:rsidRPr="00A07D14">
        <w:rPr>
          <w:rFonts w:ascii="Times New Roman" w:hAnsi="Times New Roman" w:cs="Times New Roman"/>
          <w:b/>
          <w:bCs/>
          <w:sz w:val="20"/>
          <w:szCs w:val="20"/>
        </w:rPr>
        <w:t>Autor: Poder Executivo</w:t>
      </w:r>
    </w:p>
    <w:p w:rsidR="00A07D14" w:rsidRPr="00A07D14" w:rsidRDefault="00A07D14" w:rsidP="00A07D14">
      <w:pPr>
        <w:pStyle w:val="SemEspaamento"/>
        <w:jc w:val="both"/>
        <w:rPr>
          <w:rFonts w:ascii="Times New Roman" w:hAnsi="Times New Roman" w:cs="Times New Roman"/>
          <w:bCs/>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szCs w:val="20"/>
        </w:rPr>
        <w:t>A Câmara Municipal de Pouso Alegre, Estado de Minas Gerais, aprova e o Chefe do Poder Executivo sanciona e promulga a seguinte Lei:</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b/>
          <w:szCs w:val="20"/>
        </w:rPr>
        <w:t>Art. 1º</w:t>
      </w:r>
      <w:r w:rsidRPr="00A07D14">
        <w:rPr>
          <w:rFonts w:ascii="Times New Roman" w:hAnsi="Times New Roman" w:cs="Times New Roman"/>
          <w:szCs w:val="20"/>
        </w:rPr>
        <w:t xml:space="preserve"> O Poder Executivo fica autorizado, em caráter excepcional e temporário, até que estabelecida em lei municipal as faixas marginais de corpos hídricos nas áreas urbanas consolidadas, nos termos do § 10 do art. 4º da Lei n° 12.651, de 25 de maio de 2012, a:</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szCs w:val="20"/>
        </w:rPr>
        <w:t>I – renovar Alvará de Localização e Funcionamento; e</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szCs w:val="20"/>
        </w:rPr>
        <w:t xml:space="preserve">II – conceder Alvará de Localização e Funcionamento nas hipóteses de alteração na inscrição no Cadastro Nacional de Pessoal Jurídica em decorrência de: </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szCs w:val="20"/>
        </w:rPr>
        <w:t xml:space="preserve">a) sucessão; </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szCs w:val="20"/>
        </w:rPr>
        <w:t xml:space="preserve">b) transformação; </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szCs w:val="20"/>
        </w:rPr>
        <w:t>c) incorporação;</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szCs w:val="20"/>
        </w:rPr>
        <w:t>d) cisão;</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szCs w:val="20"/>
        </w:rPr>
        <w:t>e) fusão; e</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szCs w:val="20"/>
        </w:rPr>
        <w:t>f) mudança de titularidade do empreendimento.</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b/>
          <w:szCs w:val="20"/>
        </w:rPr>
        <w:t>§ 1º</w:t>
      </w:r>
      <w:r w:rsidRPr="00A07D14">
        <w:rPr>
          <w:rFonts w:ascii="Times New Roman" w:hAnsi="Times New Roman" w:cs="Times New Roman"/>
          <w:szCs w:val="20"/>
        </w:rPr>
        <w:t xml:space="preserve"> A autorização de que trata o </w:t>
      </w:r>
      <w:r w:rsidRPr="00A07D14">
        <w:rPr>
          <w:rFonts w:ascii="Times New Roman" w:hAnsi="Times New Roman" w:cs="Times New Roman"/>
          <w:b/>
          <w:szCs w:val="20"/>
        </w:rPr>
        <w:t>caput</w:t>
      </w:r>
      <w:r w:rsidRPr="00A07D14">
        <w:rPr>
          <w:rFonts w:ascii="Times New Roman" w:hAnsi="Times New Roman" w:cs="Times New Roman"/>
          <w:szCs w:val="20"/>
        </w:rPr>
        <w:t xml:space="preserve"> se aplica em relação a atividades econômicas previamente licenciadas e em funcionamento na data da publicação desta Lei.</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b/>
          <w:szCs w:val="20"/>
        </w:rPr>
        <w:t>§ 2º</w:t>
      </w:r>
      <w:r w:rsidRPr="00A07D14">
        <w:rPr>
          <w:rFonts w:ascii="Times New Roman" w:hAnsi="Times New Roman" w:cs="Times New Roman"/>
          <w:szCs w:val="20"/>
        </w:rPr>
        <w:t xml:space="preserve"> A autorização para alteração do Alvará de Localização e Funcionamento prevista no inciso I do </w:t>
      </w:r>
      <w:r w:rsidRPr="00A07D14">
        <w:rPr>
          <w:rFonts w:ascii="Times New Roman" w:hAnsi="Times New Roman" w:cs="Times New Roman"/>
          <w:b/>
          <w:szCs w:val="20"/>
        </w:rPr>
        <w:t xml:space="preserve">caput </w:t>
      </w:r>
      <w:r w:rsidRPr="00A07D14">
        <w:rPr>
          <w:rFonts w:ascii="Times New Roman" w:hAnsi="Times New Roman" w:cs="Times New Roman"/>
          <w:szCs w:val="20"/>
        </w:rPr>
        <w:t>abrange a inclusão de atividades econômicas conformes ou de risco equivalente, podendo a Secretaria Municipal de Planejamento Urbano e Meio Ambiente instituir, em relação às atividades econômicas incluídas, medidas mitigatórias ou de compensação relativas às repercussões negativas, respeitadas as condições de instalação estabelecidas na legislação sanitária, de posturas, de segurança entre outras disposições aplicáveis.</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b/>
          <w:szCs w:val="20"/>
        </w:rPr>
        <w:t>§ 3º</w:t>
      </w:r>
      <w:r w:rsidRPr="00A07D14">
        <w:rPr>
          <w:rFonts w:ascii="Times New Roman" w:hAnsi="Times New Roman" w:cs="Times New Roman"/>
          <w:szCs w:val="20"/>
        </w:rPr>
        <w:t xml:space="preserve"> Não será passível a inclusão de atividade econômica quando esta exigir licenciamento ambiental estadual, conforme enquadramento na Deliberação Normativa COPAM n</w:t>
      </w:r>
      <w:r>
        <w:rPr>
          <w:rFonts w:ascii="Times New Roman" w:hAnsi="Times New Roman" w:cs="Times New Roman"/>
          <w:szCs w:val="20"/>
        </w:rPr>
        <w:t>º</w:t>
      </w:r>
      <w:r w:rsidRPr="00A07D14">
        <w:rPr>
          <w:rFonts w:ascii="Times New Roman" w:hAnsi="Times New Roman" w:cs="Times New Roman"/>
          <w:szCs w:val="20"/>
        </w:rPr>
        <w:t xml:space="preserve"> 217/2017.</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b/>
          <w:szCs w:val="20"/>
        </w:rPr>
        <w:lastRenderedPageBreak/>
        <w:t>§ 4º</w:t>
      </w:r>
      <w:r w:rsidRPr="00A07D14">
        <w:rPr>
          <w:rFonts w:ascii="Times New Roman" w:hAnsi="Times New Roman" w:cs="Times New Roman"/>
          <w:szCs w:val="20"/>
        </w:rPr>
        <w:t xml:space="preserve"> Nos casos de renovação de Alvará de Localização e Funcionamento, poderá ser permitida a emissão da Certidão Municipal de Uso e Ocupação do Solo, desde que observadas a Lei Municipal n° 6.476, de 23 de setembro de 2021 e a Lei Municipal n° 6.544, de 22 de dezembro de 2021.</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b/>
          <w:szCs w:val="20"/>
        </w:rPr>
        <w:t>§ 5º</w:t>
      </w:r>
      <w:r w:rsidRPr="00A07D14">
        <w:rPr>
          <w:rFonts w:ascii="Times New Roman" w:hAnsi="Times New Roman" w:cs="Times New Roman"/>
          <w:szCs w:val="20"/>
        </w:rPr>
        <w:t xml:space="preserve"> A autorização para alteração do Alvará de Localização e Funcionamento prevista no inciso II do </w:t>
      </w:r>
      <w:r w:rsidRPr="00A07D14">
        <w:rPr>
          <w:rFonts w:ascii="Times New Roman" w:hAnsi="Times New Roman" w:cs="Times New Roman"/>
          <w:b/>
          <w:szCs w:val="20"/>
        </w:rPr>
        <w:t>caput</w:t>
      </w:r>
      <w:r w:rsidRPr="00A07D14">
        <w:rPr>
          <w:rFonts w:ascii="Times New Roman" w:hAnsi="Times New Roman" w:cs="Times New Roman"/>
          <w:szCs w:val="20"/>
        </w:rPr>
        <w:t xml:space="preserve"> será deferida para o mesmo endereço da atividade econômica exercida pela empresa anterior, competindo ao requerente instruir seu pedido com a documentação comprobatória. </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b/>
          <w:szCs w:val="20"/>
        </w:rPr>
        <w:t>Art. 2º</w:t>
      </w:r>
      <w:r w:rsidRPr="00A07D14">
        <w:rPr>
          <w:rFonts w:ascii="Times New Roman" w:hAnsi="Times New Roman" w:cs="Times New Roman"/>
          <w:szCs w:val="20"/>
        </w:rPr>
        <w:t xml:space="preserve"> Competirá ao Poder Público avaliar e, sendo o caso, propor faixas marginais distintas daquelas estabelecidas no inciso I do </w:t>
      </w:r>
      <w:r w:rsidRPr="00A07D14">
        <w:rPr>
          <w:rFonts w:ascii="Times New Roman" w:hAnsi="Times New Roman" w:cs="Times New Roman"/>
          <w:b/>
          <w:szCs w:val="20"/>
        </w:rPr>
        <w:t>caput</w:t>
      </w:r>
      <w:r w:rsidRPr="00A07D14">
        <w:rPr>
          <w:rFonts w:ascii="Times New Roman" w:hAnsi="Times New Roman" w:cs="Times New Roman"/>
          <w:szCs w:val="20"/>
        </w:rPr>
        <w:t xml:space="preserve"> do art. 4º da Lei n° 12.651, de 25 de maio de 2012, em até 12 (doze) meses contados da publicação desta Lei.</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b/>
          <w:szCs w:val="20"/>
        </w:rPr>
        <w:t>Parágrafo único</w:t>
      </w:r>
      <w:r w:rsidRPr="00A07D14">
        <w:rPr>
          <w:rFonts w:ascii="Times New Roman" w:hAnsi="Times New Roman" w:cs="Times New Roman"/>
          <w:szCs w:val="20"/>
        </w:rPr>
        <w:t xml:space="preserve">. Durante o prazo estabelecido no </w:t>
      </w:r>
      <w:r w:rsidRPr="00A07D14">
        <w:rPr>
          <w:rFonts w:ascii="Times New Roman" w:hAnsi="Times New Roman" w:cs="Times New Roman"/>
          <w:b/>
          <w:szCs w:val="20"/>
        </w:rPr>
        <w:t>caput</w:t>
      </w:r>
      <w:r w:rsidRPr="00A07D14">
        <w:rPr>
          <w:rFonts w:ascii="Times New Roman" w:hAnsi="Times New Roman" w:cs="Times New Roman"/>
          <w:szCs w:val="20"/>
        </w:rPr>
        <w:t xml:space="preserve"> deste artigo a fiscalização municipal fica excepcionalmente dispensada de avaliar as faixas marginais dos corpos hídricos previstas no Código Florestal e no Plano Diretor Municipal, para fins de renovação e concessão de Alvará de Localização e Funcionamento nas hipóteses previstas nesta Lei. </w:t>
      </w:r>
    </w:p>
    <w:p w:rsidR="00A07D14" w:rsidRDefault="00A07D14" w:rsidP="00A07D14">
      <w:pPr>
        <w:pStyle w:val="SemEspaamento"/>
        <w:jc w:val="both"/>
        <w:rPr>
          <w:rFonts w:ascii="Times New Roman" w:hAnsi="Times New Roman" w:cs="Times New Roman"/>
          <w:szCs w:val="20"/>
        </w:rPr>
      </w:pPr>
    </w:p>
    <w:p w:rsidR="00A07D14" w:rsidRPr="00A07D14" w:rsidRDefault="00A07D14" w:rsidP="00A07D14">
      <w:pPr>
        <w:pStyle w:val="SemEspaamento"/>
        <w:jc w:val="both"/>
        <w:rPr>
          <w:rFonts w:ascii="Times New Roman" w:hAnsi="Times New Roman" w:cs="Times New Roman"/>
          <w:szCs w:val="20"/>
        </w:rPr>
      </w:pPr>
      <w:r w:rsidRPr="00A07D14">
        <w:rPr>
          <w:rFonts w:ascii="Times New Roman" w:hAnsi="Times New Roman" w:cs="Times New Roman"/>
          <w:b/>
          <w:szCs w:val="20"/>
        </w:rPr>
        <w:t>Art. 3º</w:t>
      </w:r>
      <w:r w:rsidRPr="00A07D14">
        <w:rPr>
          <w:rFonts w:ascii="Times New Roman" w:hAnsi="Times New Roman" w:cs="Times New Roman"/>
          <w:szCs w:val="20"/>
        </w:rPr>
        <w:t xml:space="preserve"> Revogadas as disposições em contrário, esta Lei, em caráter transitório, entra em vigor na data de sua publicação, vigendo seus efeitos pelo prazo de 12 (doze) meses ou até a promulgação da lei municipal de que trata o § 10 do art. 4º da Lei n° 12.651, de 25 de maio de 2012, o que sobrevir primeiro.</w:t>
      </w:r>
    </w:p>
    <w:p w:rsidR="002032EC" w:rsidRDefault="002032EC" w:rsidP="00A07D14">
      <w:pPr>
        <w:pStyle w:val="SemEspaamento"/>
        <w:jc w:val="both"/>
        <w:rPr>
          <w:rFonts w:ascii="Times New Roman" w:hAnsi="Times New Roman" w:cs="Times New Roman"/>
        </w:rPr>
      </w:pPr>
    </w:p>
    <w:p w:rsidR="00A07D14" w:rsidRPr="00A07D14" w:rsidRDefault="00A07D14" w:rsidP="00A07D14">
      <w:pPr>
        <w:pStyle w:val="SemEspaamento"/>
        <w:jc w:val="both"/>
        <w:rPr>
          <w:rFonts w:ascii="Times New Roman" w:hAnsi="Times New Roman" w:cs="Times New Roman"/>
        </w:rPr>
      </w:pPr>
    </w:p>
    <w:p w:rsidR="009E5998" w:rsidRPr="00CE7BBC" w:rsidRDefault="009E5998" w:rsidP="009E5998">
      <w:pPr>
        <w:pStyle w:val="SemEspaamento"/>
        <w:jc w:val="center"/>
        <w:rPr>
          <w:rFonts w:ascii="Times New Roman" w:hAnsi="Times New Roman" w:cs="Times New Roman"/>
        </w:rPr>
      </w:pPr>
      <w:r>
        <w:rPr>
          <w:rFonts w:ascii="Times New Roman" w:hAnsi="Times New Roman" w:cs="Times New Roman"/>
        </w:rPr>
        <w:t xml:space="preserve">Câmara Municipal de Pouso Alegre, </w:t>
      </w:r>
      <w:r w:rsidR="00A07D14">
        <w:rPr>
          <w:rFonts w:ascii="Times New Roman" w:hAnsi="Times New Roman" w:cs="Times New Roman"/>
        </w:rPr>
        <w:t>24</w:t>
      </w:r>
      <w:r>
        <w:rPr>
          <w:rFonts w:ascii="Times New Roman" w:hAnsi="Times New Roman" w:cs="Times New Roman"/>
        </w:rPr>
        <w:t xml:space="preserve"> de </w:t>
      </w:r>
      <w:r w:rsidR="00A07D14">
        <w:rPr>
          <w:rFonts w:ascii="Times New Roman" w:hAnsi="Times New Roman" w:cs="Times New Roman"/>
        </w:rPr>
        <w:t>setembro</w:t>
      </w:r>
      <w:r>
        <w:rPr>
          <w:rFonts w:ascii="Times New Roman" w:hAnsi="Times New Roman" w:cs="Times New Roman"/>
        </w:rPr>
        <w:t xml:space="preserve"> de 2024.</w:t>
      </w:r>
    </w:p>
    <w:p w:rsidR="00CF0B59" w:rsidRPr="00052608" w:rsidRDefault="00CF0B59" w:rsidP="00CF0B59">
      <w:pPr>
        <w:jc w:val="center"/>
        <w:rPr>
          <w:rFonts w:ascii="Times New Roman" w:hAnsi="Times New Roman" w:cs="Times New Roman"/>
          <w:color w:val="000000"/>
        </w:rPr>
      </w:pPr>
    </w:p>
    <w:p w:rsidR="00052608" w:rsidRDefault="00052608" w:rsidP="00CF0B59">
      <w:pPr>
        <w:rPr>
          <w:rFonts w:ascii="Times New Roman" w:hAnsi="Times New Roman" w:cs="Times New Roman"/>
          <w:color w:val="000000"/>
        </w:rPr>
      </w:pPr>
    </w:p>
    <w:p w:rsidR="009E5998" w:rsidRDefault="009E5998" w:rsidP="00CF0B59">
      <w:pPr>
        <w:rPr>
          <w:rFonts w:ascii="Times New Roman" w:hAnsi="Times New Roman" w:cs="Times New Roman"/>
          <w:color w:val="000000"/>
        </w:rPr>
      </w:pPr>
    </w:p>
    <w:p w:rsidR="00052608" w:rsidRPr="00052608" w:rsidRDefault="00052608" w:rsidP="00CF0B59">
      <w:pPr>
        <w:rPr>
          <w:rFonts w:ascii="Times New Roman" w:hAnsi="Times New Roman" w:cs="Times New Roman"/>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CF0B59" w:rsidRPr="00052608" w:rsidTr="00CF0B59">
        <w:tc>
          <w:tcPr>
            <w:tcW w:w="5097" w:type="dxa"/>
            <w:hideMark/>
          </w:tcPr>
          <w:p w:rsidR="00CF0B59" w:rsidRPr="00052608" w:rsidRDefault="00CF0B59">
            <w:pPr>
              <w:jc w:val="center"/>
              <w:rPr>
                <w:rFonts w:ascii="Times New Roman" w:hAnsi="Times New Roman" w:cs="Times New Roman"/>
                <w:color w:val="000000"/>
              </w:rPr>
            </w:pPr>
            <w:proofErr w:type="spellStart"/>
            <w:r w:rsidRPr="00052608">
              <w:rPr>
                <w:rFonts w:ascii="Times New Roman" w:hAnsi="Times New Roman" w:cs="Times New Roman"/>
                <w:color w:val="000000"/>
              </w:rPr>
              <w:t>Elizelto</w:t>
            </w:r>
            <w:proofErr w:type="spellEnd"/>
            <w:r w:rsidRPr="00052608">
              <w:rPr>
                <w:rFonts w:ascii="Times New Roman" w:hAnsi="Times New Roman" w:cs="Times New Roman"/>
                <w:color w:val="000000"/>
              </w:rPr>
              <w:t xml:space="preserve"> Guido</w:t>
            </w:r>
          </w:p>
        </w:tc>
        <w:tc>
          <w:tcPr>
            <w:tcW w:w="5098" w:type="dxa"/>
            <w:hideMark/>
          </w:tcPr>
          <w:p w:rsidR="00CF0B59" w:rsidRPr="00052608" w:rsidRDefault="0022176D">
            <w:pPr>
              <w:jc w:val="center"/>
              <w:rPr>
                <w:rFonts w:ascii="Times New Roman" w:hAnsi="Times New Roman" w:cs="Times New Roman"/>
                <w:color w:val="000000"/>
              </w:rPr>
            </w:pPr>
            <w:r>
              <w:rPr>
                <w:rFonts w:ascii="Times New Roman" w:hAnsi="Times New Roman" w:cs="Times New Roman"/>
                <w:color w:val="000000"/>
              </w:rPr>
              <w:t>Miguel Júnior Tomatinho</w:t>
            </w:r>
          </w:p>
        </w:tc>
      </w:tr>
      <w:tr w:rsidR="00CF0B59" w:rsidTr="00CF0B59">
        <w:tc>
          <w:tcPr>
            <w:tcW w:w="5097" w:type="dxa"/>
            <w:hideMark/>
          </w:tcPr>
          <w:p w:rsidR="00CF0B59" w:rsidRDefault="00CF0B59">
            <w:pPr>
              <w:jc w:val="center"/>
              <w:rPr>
                <w:rFonts w:ascii="Times New Roman" w:hAnsi="Times New Roman" w:cs="Times New Roman"/>
                <w:color w:val="000000"/>
                <w:sz w:val="20"/>
                <w:szCs w:val="20"/>
              </w:rPr>
            </w:pPr>
            <w:r>
              <w:rPr>
                <w:rFonts w:ascii="Times New Roman" w:hAnsi="Times New Roman" w:cs="Times New Roman"/>
                <w:color w:val="000000"/>
                <w:sz w:val="20"/>
                <w:szCs w:val="20"/>
              </w:rPr>
              <w:t>PRESIDENTE DA MESA</w:t>
            </w:r>
          </w:p>
        </w:tc>
        <w:tc>
          <w:tcPr>
            <w:tcW w:w="5098" w:type="dxa"/>
            <w:hideMark/>
          </w:tcPr>
          <w:p w:rsidR="00CF0B59" w:rsidRDefault="0022176D">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bookmarkStart w:id="0" w:name="_GoBack"/>
            <w:bookmarkEnd w:id="0"/>
            <w:r w:rsidR="00CF0B59">
              <w:rPr>
                <w:rFonts w:ascii="Times New Roman" w:hAnsi="Times New Roman" w:cs="Times New Roman"/>
                <w:color w:val="000000"/>
                <w:sz w:val="20"/>
                <w:szCs w:val="20"/>
              </w:rPr>
              <w:t>º SECRETÁRIO</w:t>
            </w:r>
          </w:p>
        </w:tc>
      </w:tr>
    </w:tbl>
    <w:p w:rsidR="00D50533" w:rsidRDefault="00D50533" w:rsidP="00D50533">
      <w:pPr>
        <w:pStyle w:val="SemEspaamento"/>
        <w:jc w:val="center"/>
        <w:rPr>
          <w:rFonts w:ascii="Times New Roman" w:hAnsi="Times New Roman" w:cs="Times New Roman"/>
        </w:rPr>
      </w:pPr>
    </w:p>
    <w:sectPr w:rsidR="00D50533" w:rsidSect="00062828">
      <w:headerReference w:type="default" r:id="rId7"/>
      <w:footerReference w:type="default" r:id="rId8"/>
      <w:pgSz w:w="11906" w:h="16838"/>
      <w:pgMar w:top="2552" w:right="567" w:bottom="851" w:left="1134"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77" w:rsidRDefault="000A3C77">
      <w:r>
        <w:separator/>
      </w:r>
    </w:p>
  </w:endnote>
  <w:endnote w:type="continuationSeparator" w:id="0">
    <w:p w:rsidR="000A3C77" w:rsidRDefault="000A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0A3C77" w:rsidP="008E258C">
    <w:pPr>
      <w:pStyle w:val="Rodap"/>
      <w:tabs>
        <w:tab w:val="left" w:pos="8364"/>
      </w:tabs>
      <w:ind w:hanging="1701"/>
    </w:pPr>
    <w:r>
      <w:rPr>
        <w:noProof/>
        <w:lang w:eastAsia="pt-BR"/>
      </w:rPr>
      <w:drawing>
        <wp:anchor distT="0" distB="0" distL="114300" distR="114300" simplePos="0" relativeHeight="251659264" behindDoc="0" locked="0" layoutInCell="1" allowOverlap="1">
          <wp:simplePos x="0" y="0"/>
          <wp:positionH relativeFrom="page">
            <wp:align>right</wp:align>
          </wp:positionH>
          <wp:positionV relativeFrom="paragraph">
            <wp:posOffset>-439420</wp:posOffset>
          </wp:positionV>
          <wp:extent cx="7540753" cy="622757"/>
          <wp:effectExtent l="0" t="0" r="3175" b="6350"/>
          <wp:wrapNone/>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1409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540753" cy="622757"/>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77" w:rsidRDefault="000A3C77">
      <w:r>
        <w:separator/>
      </w:r>
    </w:p>
  </w:footnote>
  <w:footnote w:type="continuationSeparator" w:id="0">
    <w:p w:rsidR="000A3C77" w:rsidRDefault="000A3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0A3C77" w:rsidP="008E258C">
    <w:pPr>
      <w:pStyle w:val="Cabealho"/>
      <w:ind w:left="-1701" w:right="-1701"/>
    </w:pPr>
    <w:r>
      <w:rPr>
        <w:noProof/>
        <w:lang w:eastAsia="pt-BR"/>
      </w:rPr>
      <w:drawing>
        <wp:anchor distT="0" distB="0" distL="114300" distR="114300" simplePos="0" relativeHeight="251658240" behindDoc="0" locked="0" layoutInCell="1" allowOverlap="1">
          <wp:simplePos x="0" y="0"/>
          <wp:positionH relativeFrom="page">
            <wp:align>right</wp:align>
          </wp:positionH>
          <wp:positionV relativeFrom="paragraph">
            <wp:posOffset>24765</wp:posOffset>
          </wp:positionV>
          <wp:extent cx="7553917" cy="1440787"/>
          <wp:effectExtent l="0" t="0" r="0" b="7620"/>
          <wp:wrapNone/>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6762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3917" cy="14407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14521"/>
    <w:rsid w:val="00052608"/>
    <w:rsid w:val="00062828"/>
    <w:rsid w:val="000A0F85"/>
    <w:rsid w:val="000A3C77"/>
    <w:rsid w:val="000A4374"/>
    <w:rsid w:val="000C2455"/>
    <w:rsid w:val="0010197E"/>
    <w:rsid w:val="00154CDA"/>
    <w:rsid w:val="00165332"/>
    <w:rsid w:val="00166DD7"/>
    <w:rsid w:val="00176E5E"/>
    <w:rsid w:val="001867BD"/>
    <w:rsid w:val="001E04CB"/>
    <w:rsid w:val="001E3219"/>
    <w:rsid w:val="002032EC"/>
    <w:rsid w:val="0022176D"/>
    <w:rsid w:val="0023651C"/>
    <w:rsid w:val="0024716C"/>
    <w:rsid w:val="002565FC"/>
    <w:rsid w:val="002C34FE"/>
    <w:rsid w:val="0035057F"/>
    <w:rsid w:val="003577FE"/>
    <w:rsid w:val="00357A71"/>
    <w:rsid w:val="003C23AC"/>
    <w:rsid w:val="003E1ACB"/>
    <w:rsid w:val="00422456"/>
    <w:rsid w:val="00497138"/>
    <w:rsid w:val="004A1A32"/>
    <w:rsid w:val="004A6119"/>
    <w:rsid w:val="004E0B87"/>
    <w:rsid w:val="00504340"/>
    <w:rsid w:val="00544D35"/>
    <w:rsid w:val="00565423"/>
    <w:rsid w:val="005F6AD1"/>
    <w:rsid w:val="006104A4"/>
    <w:rsid w:val="006112CF"/>
    <w:rsid w:val="00622289"/>
    <w:rsid w:val="00661EB2"/>
    <w:rsid w:val="00665B66"/>
    <w:rsid w:val="0069597B"/>
    <w:rsid w:val="006B3BD5"/>
    <w:rsid w:val="00702A7E"/>
    <w:rsid w:val="00725690"/>
    <w:rsid w:val="007324A9"/>
    <w:rsid w:val="007862E4"/>
    <w:rsid w:val="0079107A"/>
    <w:rsid w:val="007D5E58"/>
    <w:rsid w:val="00804DCB"/>
    <w:rsid w:val="00895CEE"/>
    <w:rsid w:val="008A15A9"/>
    <w:rsid w:val="008A60BB"/>
    <w:rsid w:val="008B01FE"/>
    <w:rsid w:val="008C2DDB"/>
    <w:rsid w:val="008E258C"/>
    <w:rsid w:val="008E4010"/>
    <w:rsid w:val="00914A74"/>
    <w:rsid w:val="00934E91"/>
    <w:rsid w:val="009B542F"/>
    <w:rsid w:val="009D09E6"/>
    <w:rsid w:val="009E5998"/>
    <w:rsid w:val="009F0B18"/>
    <w:rsid w:val="00A07D14"/>
    <w:rsid w:val="00AA4F59"/>
    <w:rsid w:val="00AD24EB"/>
    <w:rsid w:val="00AE11FE"/>
    <w:rsid w:val="00B073E1"/>
    <w:rsid w:val="00B7481A"/>
    <w:rsid w:val="00BD1D09"/>
    <w:rsid w:val="00BE4C53"/>
    <w:rsid w:val="00C348A7"/>
    <w:rsid w:val="00C73D81"/>
    <w:rsid w:val="00C803F5"/>
    <w:rsid w:val="00CA3090"/>
    <w:rsid w:val="00CA3AC1"/>
    <w:rsid w:val="00CE7BBC"/>
    <w:rsid w:val="00CF0B59"/>
    <w:rsid w:val="00D16087"/>
    <w:rsid w:val="00D50533"/>
    <w:rsid w:val="00D573BB"/>
    <w:rsid w:val="00DA533A"/>
    <w:rsid w:val="00DB6D81"/>
    <w:rsid w:val="00DC711F"/>
    <w:rsid w:val="00DD6E76"/>
    <w:rsid w:val="00E12E40"/>
    <w:rsid w:val="00E4365D"/>
    <w:rsid w:val="00E932E2"/>
    <w:rsid w:val="00EF5BA8"/>
    <w:rsid w:val="00F073D6"/>
    <w:rsid w:val="00F24068"/>
    <w:rsid w:val="00FD6666"/>
    <w:rsid w:val="00FE2A21"/>
    <w:rsid w:val="00FE4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258C"/>
    <w:pPr>
      <w:tabs>
        <w:tab w:val="center" w:pos="4252"/>
        <w:tab w:val="right" w:pos="8504"/>
      </w:tabs>
    </w:pPr>
  </w:style>
  <w:style w:type="character" w:customStyle="1" w:styleId="CabealhoChar">
    <w:name w:val="Cabeçalho Char"/>
    <w:basedOn w:val="Fontepargpadro"/>
    <w:link w:val="Cabealho"/>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customStyle="1" w:styleId="Normal0">
    <w:name w:val="[Normal]"/>
    <w:rsid w:val="007862E4"/>
    <w:pPr>
      <w:widowControl w:val="0"/>
    </w:pPr>
    <w:rPr>
      <w:rFonts w:ascii="Arial" w:eastAsia="Arial" w:hAnsi="Arial" w:cs="Arial"/>
      <w:kern w:val="0"/>
      <w:szCs w:val="20"/>
      <w:lang w:eastAsia="pt-BR"/>
      <w14:ligatures w14:val="none"/>
    </w:rPr>
  </w:style>
  <w:style w:type="paragraph" w:styleId="Corpodetexto">
    <w:name w:val="Body Text"/>
    <w:basedOn w:val="Normal"/>
    <w:link w:val="CorpodetextoChar"/>
    <w:semiHidden/>
    <w:unhideWhenUsed/>
    <w:rsid w:val="00C348A7"/>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C348A7"/>
    <w:rPr>
      <w:rFonts w:ascii="Times New Roman" w:eastAsia="Times New Roman" w:hAnsi="Times New Roman" w:cs="Times New Roman"/>
      <w:kern w:val="0"/>
      <w:szCs w:val="20"/>
      <w:lang w:eastAsia="pt-BR"/>
      <w14:ligatures w14:val="none"/>
    </w:rPr>
  </w:style>
  <w:style w:type="paragraph" w:styleId="SemEspaamento">
    <w:name w:val="No Spacing"/>
    <w:uiPriority w:val="1"/>
    <w:qFormat/>
    <w:rsid w:val="00C348A7"/>
  </w:style>
  <w:style w:type="table" w:styleId="Tabelacomgrade">
    <w:name w:val="Table Grid"/>
    <w:basedOn w:val="Tabelanormal"/>
    <w:uiPriority w:val="39"/>
    <w:rsid w:val="00247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semiHidden/>
    <w:unhideWhenUsed/>
    <w:rsid w:val="003C23AC"/>
    <w:rPr>
      <w:rFonts w:ascii="Courier New" w:eastAsia="Times New Roman" w:hAnsi="Courier New" w:cs="Times New Roman"/>
      <w:kern w:val="0"/>
      <w:sz w:val="20"/>
      <w:szCs w:val="20"/>
      <w:lang w:eastAsia="pt-BR"/>
      <w14:ligatures w14:val="none"/>
    </w:rPr>
  </w:style>
  <w:style w:type="character" w:customStyle="1" w:styleId="TextosemFormataoChar">
    <w:name w:val="Texto sem Formatação Char"/>
    <w:basedOn w:val="Fontepargpadro"/>
    <w:link w:val="TextosemFormatao"/>
    <w:semiHidden/>
    <w:rsid w:val="003C23AC"/>
    <w:rPr>
      <w:rFonts w:ascii="Courier New" w:eastAsia="Times New Roman" w:hAnsi="Courier New" w:cs="Times New Roman"/>
      <w:kern w:val="0"/>
      <w:sz w:val="20"/>
      <w:szCs w:val="20"/>
      <w:lang w:eastAsia="pt-BR"/>
      <w14:ligatures w14:val="none"/>
    </w:rPr>
  </w:style>
  <w:style w:type="paragraph" w:styleId="Textodebalo">
    <w:name w:val="Balloon Text"/>
    <w:basedOn w:val="Normal"/>
    <w:link w:val="TextodebaloChar"/>
    <w:uiPriority w:val="99"/>
    <w:semiHidden/>
    <w:unhideWhenUsed/>
    <w:rsid w:val="00FE2A21"/>
    <w:rPr>
      <w:rFonts w:ascii="Segoe UI" w:hAnsi="Segoe UI" w:cs="Segoe UI"/>
      <w:sz w:val="18"/>
      <w:szCs w:val="18"/>
    </w:rPr>
  </w:style>
  <w:style w:type="character" w:customStyle="1" w:styleId="TextodebaloChar">
    <w:name w:val="Texto de balão Char"/>
    <w:basedOn w:val="Fontepargpadro"/>
    <w:link w:val="Textodebalo"/>
    <w:uiPriority w:val="99"/>
    <w:semiHidden/>
    <w:rsid w:val="00FE2A21"/>
    <w:rPr>
      <w:rFonts w:ascii="Segoe UI" w:hAnsi="Segoe UI" w:cs="Segoe UI"/>
      <w:sz w:val="18"/>
      <w:szCs w:val="18"/>
    </w:rPr>
  </w:style>
  <w:style w:type="paragraph" w:customStyle="1" w:styleId="TableParagraph">
    <w:name w:val="Table Paragraph"/>
    <w:basedOn w:val="Normal"/>
    <w:uiPriority w:val="1"/>
    <w:qFormat/>
    <w:rsid w:val="00804DCB"/>
    <w:pPr>
      <w:widowControl w:val="0"/>
      <w:autoSpaceDE w:val="0"/>
      <w:autoSpaceDN w:val="0"/>
      <w:spacing w:line="203" w:lineRule="exact"/>
      <w:ind w:left="68"/>
    </w:pPr>
    <w:rPr>
      <w:rFonts w:ascii="Arial" w:eastAsia="Arial" w:hAnsi="Arial" w:cs="Arial"/>
      <w:kern w:val="0"/>
      <w:sz w:val="22"/>
      <w:szCs w:val="22"/>
      <w:lang w:val="pt-PT"/>
      <w14:ligatures w14:val="none"/>
    </w:rPr>
  </w:style>
  <w:style w:type="character" w:customStyle="1" w:styleId="fontstyle01">
    <w:name w:val="fontstyle01"/>
    <w:rsid w:val="00DD6E76"/>
    <w:rPr>
      <w:rFonts w:ascii="SegoeUI" w:hAnsi="SegoeUI" w:hint="default"/>
      <w:b w:val="0"/>
      <w:bCs w:val="0"/>
      <w:i w:val="0"/>
      <w:iCs w:val="0"/>
      <w:color w:val="212529"/>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04098">
      <w:bodyDiv w:val="1"/>
      <w:marLeft w:val="0"/>
      <w:marRight w:val="0"/>
      <w:marTop w:val="0"/>
      <w:marBottom w:val="0"/>
      <w:divBdr>
        <w:top w:val="none" w:sz="0" w:space="0" w:color="auto"/>
        <w:left w:val="none" w:sz="0" w:space="0" w:color="auto"/>
        <w:bottom w:val="none" w:sz="0" w:space="0" w:color="auto"/>
        <w:right w:val="none" w:sz="0" w:space="0" w:color="auto"/>
      </w:divBdr>
    </w:div>
    <w:div w:id="1874920669">
      <w:bodyDiv w:val="1"/>
      <w:marLeft w:val="0"/>
      <w:marRight w:val="0"/>
      <w:marTop w:val="0"/>
      <w:marBottom w:val="0"/>
      <w:divBdr>
        <w:top w:val="none" w:sz="0" w:space="0" w:color="auto"/>
        <w:left w:val="none" w:sz="0" w:space="0" w:color="auto"/>
        <w:bottom w:val="none" w:sz="0" w:space="0" w:color="auto"/>
        <w:right w:val="none" w:sz="0" w:space="0" w:color="auto"/>
      </w:divBdr>
    </w:div>
    <w:div w:id="19564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97302-42A7-4A5A-8DE4-B9CE11AD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user4837</cp:lastModifiedBy>
  <cp:revision>3</cp:revision>
  <cp:lastPrinted>2024-07-16T19:38:00Z</cp:lastPrinted>
  <dcterms:created xsi:type="dcterms:W3CDTF">2024-09-24T16:05:00Z</dcterms:created>
  <dcterms:modified xsi:type="dcterms:W3CDTF">2024-09-24T16:06:00Z</dcterms:modified>
</cp:coreProperties>
</file>