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1037</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Ely da Autopeças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que seja realizado um estudo para realização da pavimentação asfáltica de um pequeno trecho da Rua Três Corações, altura do número 249, no bairro São João.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Esse pedido é necessário e importante uma vez que apenas um pequeno trecho da rua supracitada não contenha pavimentação asfáltica. A ausência de pavimentação nesse trecho específico gera desconforto e transtornos aos moradores e transeuntes, principalmente em dias de chuva, quando a via se torna lamacenta e escorregadia. Além disso, a pavimentação desse trecho contribuirá para a melhoria da infraestrutura urbana, valorização dos imóveis e aumento da segurança, proporcionando uma melhor qualidade de vida para todos os que utilizam esse trecho da rua.</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7 de agosto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7 de agosto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7 de agosto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