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940</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Reverendo Dionísio Pereira</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para realização de operação tapa buraco asfáltico na Rua Joina Guimarães, em frente ao 235 (antiga rua 12) bairro Cidade Jardim (conforme fotos anexas).</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Conforme reivindicação dos moradores, esta  solicitação se faz necessária pelo fato da rua ter um buraco no meio da faixa onde circulam os carros criando uma situação de perigo para quem pretende desviar deste buraco. A providência é no sentido de sanar esta irregularidade tornando a circulação nesta via mais segura para seus usuários.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16 de julho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16 de julho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16 de julho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