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A2" w:rsidRPr="00506635" w:rsidRDefault="007A1E81" w:rsidP="000307B9">
      <w:pPr>
        <w:spacing w:after="115" w:line="360" w:lineRule="auto"/>
        <w:ind w:left="159" w:hanging="10"/>
        <w:jc w:val="center"/>
        <w:rPr>
          <w:rFonts w:ascii="Times New Roman" w:hAnsi="Times New Roman" w:cs="Times New Roman"/>
          <w:color w:val="auto"/>
        </w:rPr>
      </w:pPr>
      <w:proofErr w:type="gramStart"/>
      <w:r w:rsidRPr="00506635">
        <w:rPr>
          <w:rFonts w:ascii="Times New Roman" w:eastAsia="Times New Roman" w:hAnsi="Times New Roman" w:cs="Times New Roman"/>
          <w:b/>
          <w:color w:val="auto"/>
        </w:rPr>
        <w:t>Excelentíssimo Senhor Presidente da Câmara Municipal</w:t>
      </w:r>
      <w:proofErr w:type="gramEnd"/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de Pouso Alegre – MG.</w:t>
      </w:r>
    </w:p>
    <w:p w:rsidR="00974AA2" w:rsidRPr="00506635" w:rsidRDefault="007A1E81" w:rsidP="00E46DE2">
      <w:pPr>
        <w:spacing w:after="112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6671D5" w:rsidP="000307B9">
      <w:pPr>
        <w:spacing w:after="112" w:line="360" w:lineRule="auto"/>
        <w:ind w:right="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Pouso Alegre, 2</w:t>
      </w:r>
      <w:r w:rsidR="00786342">
        <w:rPr>
          <w:rFonts w:ascii="Times New Roman" w:eastAsia="Times New Roman" w:hAnsi="Times New Roman" w:cs="Times New Roman"/>
          <w:b/>
          <w:color w:val="auto"/>
        </w:rPr>
        <w:t>8 de junho</w:t>
      </w:r>
      <w:r w:rsidR="00E34A20" w:rsidRPr="00506635">
        <w:rPr>
          <w:rFonts w:ascii="Times New Roman" w:eastAsia="Times New Roman" w:hAnsi="Times New Roman" w:cs="Times New Roman"/>
          <w:b/>
          <w:color w:val="auto"/>
        </w:rPr>
        <w:t xml:space="preserve"> de 202</w:t>
      </w:r>
      <w:r w:rsidR="00D65642" w:rsidRPr="00506635">
        <w:rPr>
          <w:rFonts w:ascii="Times New Roman" w:eastAsia="Times New Roman" w:hAnsi="Times New Roman" w:cs="Times New Roman"/>
          <w:b/>
          <w:color w:val="auto"/>
        </w:rPr>
        <w:t>4</w:t>
      </w:r>
      <w:r w:rsidR="007A1E81" w:rsidRPr="00506635">
        <w:rPr>
          <w:rFonts w:ascii="Times New Roman" w:eastAsia="Times New Roman" w:hAnsi="Times New Roman" w:cs="Times New Roman"/>
          <w:b/>
          <w:color w:val="auto"/>
        </w:rPr>
        <w:t xml:space="preserve">.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2" w:line="360" w:lineRule="auto"/>
        <w:ind w:left="5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0307B9">
      <w:pPr>
        <w:spacing w:after="110" w:line="360" w:lineRule="auto"/>
        <w:ind w:right="7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JURÍDICO</w:t>
      </w:r>
    </w:p>
    <w:p w:rsidR="00974AA2" w:rsidRPr="00506635" w:rsidRDefault="007A1E81" w:rsidP="00E46DE2">
      <w:pPr>
        <w:spacing w:after="321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0307B9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Autoria – Poder Legislativo </w:t>
      </w:r>
    </w:p>
    <w:p w:rsidR="00974AA2" w:rsidRPr="00506635" w:rsidRDefault="007A1E81" w:rsidP="00E46DE2">
      <w:pPr>
        <w:spacing w:line="36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Nos termos do artigo 79 do Regimento Interno desta Casa de Leis, passamos a analisar os aspectos legais do </w:t>
      </w:r>
      <w:r w:rsidR="006671D5">
        <w:rPr>
          <w:rFonts w:ascii="Times New Roman" w:eastAsia="Times New Roman" w:hAnsi="Times New Roman" w:cs="Times New Roman"/>
          <w:b/>
          <w:color w:val="auto"/>
        </w:rPr>
        <w:t>Projeto de Lei n° 7.951</w:t>
      </w:r>
      <w:r w:rsidR="00D65642" w:rsidRPr="00506635">
        <w:rPr>
          <w:rFonts w:ascii="Times New Roman" w:eastAsia="Times New Roman" w:hAnsi="Times New Roman" w:cs="Times New Roman"/>
          <w:b/>
          <w:color w:val="auto"/>
        </w:rPr>
        <w:t>/2024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de </w:t>
      </w:r>
      <w:r w:rsidR="00467BBF" w:rsidRPr="00506635">
        <w:rPr>
          <w:rFonts w:ascii="Times New Roman" w:eastAsia="Times New Roman" w:hAnsi="Times New Roman" w:cs="Times New Roman"/>
          <w:b/>
          <w:color w:val="auto"/>
        </w:rPr>
        <w:t>auto</w:t>
      </w:r>
      <w:r w:rsidR="00315F39" w:rsidRPr="00506635">
        <w:rPr>
          <w:rFonts w:ascii="Times New Roman" w:eastAsia="Times New Roman" w:hAnsi="Times New Roman" w:cs="Times New Roman"/>
          <w:b/>
          <w:color w:val="auto"/>
        </w:rPr>
        <w:t xml:space="preserve">ria do Vereador </w:t>
      </w:r>
      <w:r w:rsidR="006671D5" w:rsidRPr="006671D5">
        <w:rPr>
          <w:rFonts w:ascii="Times New Roman" w:eastAsia="Times New Roman" w:hAnsi="Times New Roman" w:cs="Times New Roman"/>
          <w:b/>
          <w:color w:val="auto"/>
        </w:rPr>
        <w:t>Dr. Edson</w:t>
      </w:r>
      <w:r w:rsidR="002E76D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que </w:t>
      </w:r>
      <w:r w:rsidRPr="00506635">
        <w:rPr>
          <w:rFonts w:ascii="Times New Roman" w:eastAsia="Times New Roman" w:hAnsi="Times New Roman" w:cs="Times New Roman"/>
          <w:b/>
          <w:color w:val="auto"/>
        </w:rPr>
        <w:t>“</w:t>
      </w:r>
      <w:r w:rsidR="006671D5">
        <w:rPr>
          <w:rFonts w:ascii="Times New Roman" w:eastAsia="Times New Roman" w:hAnsi="Times New Roman" w:cs="Times New Roman"/>
          <w:b/>
          <w:color w:val="auto"/>
        </w:rPr>
        <w:t>INSTITUI O ‘</w:t>
      </w:r>
      <w:r w:rsidR="006671D5" w:rsidRPr="006671D5">
        <w:rPr>
          <w:rFonts w:ascii="Times New Roman" w:eastAsia="Times New Roman" w:hAnsi="Times New Roman" w:cs="Times New Roman"/>
          <w:b/>
          <w:color w:val="auto"/>
        </w:rPr>
        <w:t>DI</w:t>
      </w:r>
      <w:r w:rsidR="006671D5">
        <w:rPr>
          <w:rFonts w:ascii="Times New Roman" w:eastAsia="Times New Roman" w:hAnsi="Times New Roman" w:cs="Times New Roman"/>
          <w:b/>
          <w:color w:val="auto"/>
        </w:rPr>
        <w:t>A MUNICIPAL DA MÃE INTERCESSORA’</w:t>
      </w:r>
      <w:r w:rsidR="006671D5" w:rsidRPr="006671D5">
        <w:rPr>
          <w:rFonts w:ascii="Times New Roman" w:eastAsia="Times New Roman" w:hAnsi="Times New Roman" w:cs="Times New Roman"/>
          <w:b/>
          <w:color w:val="auto"/>
        </w:rPr>
        <w:t xml:space="preserve"> NO CALENDÁRIO OFICIAL DO MUNICÍPIO DE POUSO ALEGRE E DÁ OUTRAS </w:t>
      </w:r>
      <w:proofErr w:type="gramStart"/>
      <w:r w:rsidR="006671D5" w:rsidRPr="006671D5">
        <w:rPr>
          <w:rFonts w:ascii="Times New Roman" w:eastAsia="Times New Roman" w:hAnsi="Times New Roman" w:cs="Times New Roman"/>
          <w:b/>
          <w:color w:val="auto"/>
        </w:rPr>
        <w:t>PROVIDÊNCIAS.</w:t>
      </w:r>
      <w:r w:rsidR="00315F39" w:rsidRPr="00506635">
        <w:rPr>
          <w:rFonts w:ascii="Times New Roman" w:eastAsia="Times New Roman" w:hAnsi="Times New Roman" w:cs="Times New Roman"/>
          <w:b/>
          <w:color w:val="auto"/>
        </w:rPr>
        <w:t>”</w:t>
      </w:r>
      <w:proofErr w:type="gramEnd"/>
    </w:p>
    <w:p w:rsidR="00E34A20" w:rsidRPr="00506635" w:rsidRDefault="007A1E81" w:rsidP="00E46DE2">
      <w:pPr>
        <w:spacing w:before="240" w:line="36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O Projeto de Lei em análise, em seu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artigo primeiro (1º)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dispõe que </w:t>
      </w:r>
      <w:r w:rsidR="006B4684" w:rsidRPr="00506635">
        <w:rPr>
          <w:rFonts w:ascii="Times New Roman" w:eastAsia="Times New Roman" w:hAnsi="Times New Roman" w:cs="Times New Roman"/>
          <w:color w:val="auto"/>
        </w:rPr>
        <w:t>f</w:t>
      </w:r>
      <w:r w:rsidR="00786342" w:rsidRPr="00786342">
        <w:rPr>
          <w:rFonts w:ascii="Times New Roman" w:eastAsia="Times New Roman" w:hAnsi="Times New Roman" w:cs="Times New Roman"/>
          <w:color w:val="auto"/>
        </w:rPr>
        <w:t xml:space="preserve">ica </w:t>
      </w:r>
      <w:r w:rsidR="006671D5" w:rsidRPr="006671D5">
        <w:rPr>
          <w:rFonts w:ascii="Times New Roman" w:eastAsia="Times New Roman" w:hAnsi="Times New Roman" w:cs="Times New Roman"/>
          <w:color w:val="auto"/>
        </w:rPr>
        <w:t>instituído no Calendário Oficial do município de Pouso Alegre o "Dia Municipal da Mãe Intercessora", a ser celebrado, anualmente, no dia 19 de abril.</w:t>
      </w:r>
    </w:p>
    <w:p w:rsidR="00014F59" w:rsidRPr="00506635" w:rsidRDefault="007A1E81" w:rsidP="00E46DE2">
      <w:pPr>
        <w:spacing w:before="240"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artigo segundo (2º)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aduz q</w:t>
      </w:r>
      <w:r w:rsidR="00E34A20" w:rsidRPr="00506635">
        <w:rPr>
          <w:rFonts w:ascii="Times New Roman" w:eastAsia="Times New Roman" w:hAnsi="Times New Roman" w:cs="Times New Roman"/>
          <w:color w:val="auto"/>
        </w:rPr>
        <w:t xml:space="preserve">ue </w:t>
      </w:r>
      <w:r w:rsidR="006671D5">
        <w:rPr>
          <w:rFonts w:ascii="Times New Roman" w:eastAsia="Times New Roman" w:hAnsi="Times New Roman" w:cs="Times New Roman"/>
          <w:color w:val="auto"/>
        </w:rPr>
        <w:t>o</w:t>
      </w:r>
      <w:r w:rsidR="006671D5" w:rsidRPr="006671D5">
        <w:rPr>
          <w:rFonts w:ascii="Times New Roman" w:eastAsia="Times New Roman" w:hAnsi="Times New Roman" w:cs="Times New Roman"/>
          <w:color w:val="auto"/>
        </w:rPr>
        <w:t xml:space="preserve"> "Dia Municipal da Mãe Intercessora" tem como objetivo reconhecer e valorizar o papel das mães que, movidas pela fé e pelo amor, dedicam-se à intercessão pelos seus filhos e famílias, contribuindo para a promoção de valores espirituais e morais na sociedade.</w:t>
      </w:r>
    </w:p>
    <w:p w:rsidR="00014F59" w:rsidRPr="00506635" w:rsidRDefault="006671D5" w:rsidP="002E76D3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Parágrafo primeiro (1º</w:t>
      </w:r>
      <w:r w:rsidR="00014F59"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="00014F59"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- </w:t>
      </w:r>
      <w:r w:rsidR="00297FDE">
        <w:rPr>
          <w:rFonts w:ascii="Times New Roman" w:eastAsia="Times New Roman" w:hAnsi="Times New Roman" w:cs="Times New Roman"/>
          <w:color w:val="auto"/>
        </w:rPr>
        <w:t>a</w:t>
      </w:r>
      <w:r w:rsidRPr="006671D5">
        <w:rPr>
          <w:rFonts w:ascii="Times New Roman" w:eastAsia="Times New Roman" w:hAnsi="Times New Roman" w:cs="Times New Roman"/>
          <w:color w:val="auto"/>
        </w:rPr>
        <w:t xml:space="preserve"> data faz referência ao Movimento Mães Intercessoras, de iniciativa do Ministério Água Viva, marcando um momento de profunda conexão espiritual e compro</w:t>
      </w:r>
      <w:r>
        <w:rPr>
          <w:rFonts w:ascii="Times New Roman" w:eastAsia="Times New Roman" w:hAnsi="Times New Roman" w:cs="Times New Roman"/>
          <w:color w:val="auto"/>
        </w:rPr>
        <w:t>misso com a oração intercessora.</w:t>
      </w:r>
    </w:p>
    <w:p w:rsidR="00014F59" w:rsidRPr="00506635" w:rsidRDefault="006671D5" w:rsidP="002E76D3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Parágrafo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</w:rPr>
        <w:t>segundo (2º</w:t>
      </w:r>
      <w:r w:rsidR="00014F59"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="00014F59"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- </w:t>
      </w:r>
      <w:r w:rsidR="00297FDE">
        <w:rPr>
          <w:rFonts w:ascii="Times New Roman" w:eastAsia="Times New Roman" w:hAnsi="Times New Roman" w:cs="Times New Roman"/>
          <w:color w:val="auto"/>
        </w:rPr>
        <w:t>o</w:t>
      </w:r>
      <w:r w:rsidR="00297FDE" w:rsidRPr="00297FDE">
        <w:rPr>
          <w:rFonts w:ascii="Times New Roman" w:eastAsia="Times New Roman" w:hAnsi="Times New Roman" w:cs="Times New Roman"/>
          <w:color w:val="auto"/>
        </w:rPr>
        <w:t xml:space="preserve"> Movimento Mães Intercessoras caracteriza-se pela reunião diária de mães para orarem pelos seus filhos, abordando temas diversos que afetam a juventude contemporânea, buscando a intervenção divina para a realização dos propósitos de Deus na vida dos jovens.</w:t>
      </w:r>
    </w:p>
    <w:p w:rsidR="00315F39" w:rsidRDefault="00315F39" w:rsidP="000307B9">
      <w:pPr>
        <w:spacing w:before="240"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artigo terceiro (3º)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="00297FDE">
        <w:rPr>
          <w:rFonts w:ascii="Times New Roman" w:eastAsia="Times New Roman" w:hAnsi="Times New Roman" w:cs="Times New Roman"/>
          <w:color w:val="auto"/>
        </w:rPr>
        <w:t>n</w:t>
      </w:r>
      <w:r w:rsidR="00297FDE" w:rsidRPr="00297FDE">
        <w:rPr>
          <w:rFonts w:ascii="Times New Roman" w:eastAsia="Times New Roman" w:hAnsi="Times New Roman" w:cs="Times New Roman"/>
          <w:color w:val="auto"/>
        </w:rPr>
        <w:t>o "Dia Municipal da Mãe Intercessora", o poder público, em parceria com entidades religiosas e comunitárias, poderá promover eventos, palestras, encontros de oração e outras atividades que fomentem a prática da intercessão materna e o fortalecimento dos laços familiares.</w:t>
      </w:r>
    </w:p>
    <w:p w:rsidR="00467BBF" w:rsidRPr="00506635" w:rsidRDefault="00315F39" w:rsidP="00E46DE2">
      <w:pPr>
        <w:spacing w:before="240"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artigo quarto (4º)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="000307B9" w:rsidRPr="00506635">
        <w:rPr>
          <w:rFonts w:ascii="Times New Roman" w:eastAsia="Times New Roman" w:hAnsi="Times New Roman" w:cs="Times New Roman"/>
          <w:color w:val="auto"/>
        </w:rPr>
        <w:t xml:space="preserve">determina que </w:t>
      </w:r>
      <w:r w:rsidR="0096263E">
        <w:rPr>
          <w:rFonts w:ascii="Times New Roman" w:eastAsia="Times New Roman" w:hAnsi="Times New Roman" w:cs="Times New Roman"/>
          <w:color w:val="auto"/>
        </w:rPr>
        <w:t xml:space="preserve">o </w:t>
      </w:r>
      <w:r w:rsidR="000307B9" w:rsidRPr="00506635">
        <w:rPr>
          <w:rFonts w:ascii="Times New Roman" w:eastAsia="Times New Roman" w:hAnsi="Times New Roman" w:cs="Times New Roman"/>
          <w:color w:val="auto"/>
        </w:rPr>
        <w:t xml:space="preserve">Poder Executivo </w:t>
      </w:r>
      <w:r w:rsidR="002E76D3" w:rsidRPr="002E76D3">
        <w:rPr>
          <w:rFonts w:ascii="Times New Roman" w:eastAsia="Times New Roman" w:hAnsi="Times New Roman" w:cs="Times New Roman"/>
          <w:color w:val="auto"/>
        </w:rPr>
        <w:t>poderá regulamentar a presente Lei, no que couber.</w:t>
      </w:r>
    </w:p>
    <w:p w:rsidR="00974AA2" w:rsidRPr="00506635" w:rsidRDefault="007A1E81" w:rsidP="00E46DE2">
      <w:pPr>
        <w:spacing w:after="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="00315F39" w:rsidRPr="00506635">
        <w:rPr>
          <w:rFonts w:ascii="Times New Roman" w:eastAsia="Times New Roman" w:hAnsi="Times New Roman" w:cs="Times New Roman"/>
          <w:b/>
          <w:i/>
          <w:color w:val="auto"/>
        </w:rPr>
        <w:t>artigo quinto (5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º)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="000307B9" w:rsidRPr="00506635">
        <w:rPr>
          <w:rFonts w:ascii="Times New Roman" w:eastAsia="Times New Roman" w:hAnsi="Times New Roman" w:cs="Times New Roman"/>
          <w:color w:val="auto"/>
        </w:rPr>
        <w:t xml:space="preserve">estabelece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que </w:t>
      </w:r>
      <w:r w:rsidR="000307B9" w:rsidRPr="00506635">
        <w:rPr>
          <w:rFonts w:ascii="Times New Roman" w:eastAsia="Times New Roman" w:hAnsi="Times New Roman" w:cs="Times New Roman"/>
          <w:color w:val="auto"/>
        </w:rPr>
        <w:t>esta Lei entra em vigor na data de sua publicação.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974AA2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E46DE2" w:rsidRPr="00506635" w:rsidRDefault="00E46DE2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974AA2" w:rsidRPr="00506635" w:rsidRDefault="007A1E81" w:rsidP="00E46DE2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 FORMA </w:t>
      </w:r>
    </w:p>
    <w:p w:rsidR="00974AA2" w:rsidRPr="00506635" w:rsidRDefault="007A1E81" w:rsidP="00E46DE2">
      <w:pPr>
        <w:spacing w:after="195" w:line="360" w:lineRule="auto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A matéria veiculada neste Projeto de Lei se adequada perfeitamente aos princípios de competência legislativa assegurados ao Município e insculpidos no artigo 30, inciso I e IX da Constituição Federal, tampouco conflita com a competência privativa da União, artigo 22 da Constituição Federal.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Art. 30. Compete aos Municípios: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 - </w:t>
      </w:r>
      <w:proofErr w:type="gramStart"/>
      <w:r w:rsidRPr="00506635">
        <w:rPr>
          <w:rFonts w:ascii="Times New Roman" w:eastAsia="Times New Roman" w:hAnsi="Times New Roman" w:cs="Times New Roman"/>
          <w:i/>
          <w:color w:val="auto"/>
        </w:rPr>
        <w:t>legislar</w:t>
      </w:r>
      <w:proofErr w:type="gramEnd"/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sobre assuntos de interesse local; (...) </w:t>
      </w:r>
    </w:p>
    <w:p w:rsidR="00974AA2" w:rsidRPr="00506635" w:rsidRDefault="007A1E81" w:rsidP="00506635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IX - </w:t>
      </w:r>
      <w:proofErr w:type="gramStart"/>
      <w:r w:rsidRPr="00506635">
        <w:rPr>
          <w:rFonts w:ascii="Times New Roman" w:eastAsia="Times New Roman" w:hAnsi="Times New Roman" w:cs="Times New Roman"/>
          <w:i/>
          <w:color w:val="auto"/>
        </w:rPr>
        <w:t>promover</w:t>
      </w:r>
      <w:proofErr w:type="gramEnd"/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a proteção do patrimônio histórico-cultural local, observada a legislação e a ação fiscalizadora federal e estadual. </w:t>
      </w:r>
    </w:p>
    <w:p w:rsidR="00974AA2" w:rsidRPr="00506635" w:rsidRDefault="007A1E81" w:rsidP="00E46DE2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E46DE2" w:rsidRPr="00506635" w:rsidRDefault="00E46DE2" w:rsidP="00E46DE2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</w:p>
    <w:p w:rsidR="00974AA2" w:rsidRPr="00506635" w:rsidRDefault="007A1E81" w:rsidP="00E46DE2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 INICIATIVA </w:t>
      </w:r>
    </w:p>
    <w:p w:rsidR="00974AA2" w:rsidRPr="00506635" w:rsidRDefault="007A1E81" w:rsidP="00660DF3">
      <w:pPr>
        <w:tabs>
          <w:tab w:val="right" w:pos="8509"/>
        </w:tabs>
        <w:spacing w:after="121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A iniciativa por parte do vereador encontra-se conforme o artigo 39, I, c/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c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artigo 44 da Lei Orgânica do Município, adequada ao artigo 54, I, do Regimento Interno da Câmara Municipal, sendo a matéria em análise de competência municipal e de iniciativa não privativa do Prefeito.   </w:t>
      </w:r>
    </w:p>
    <w:p w:rsidR="00974AA2" w:rsidRPr="00506635" w:rsidRDefault="007A1E81" w:rsidP="00E46DE2">
      <w:pPr>
        <w:tabs>
          <w:tab w:val="center" w:pos="2609"/>
        </w:tabs>
        <w:spacing w:after="3" w:line="360" w:lineRule="auto"/>
        <w:ind w:left="-15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ab/>
        <w:t xml:space="preserve">Assim prevê a Lei Orgânica Municipal: </w:t>
      </w:r>
    </w:p>
    <w:p w:rsidR="00974AA2" w:rsidRPr="00506635" w:rsidRDefault="007A1E81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E6E38" w:rsidRPr="00506635" w:rsidRDefault="007A1E81" w:rsidP="00506635">
      <w:pPr>
        <w:spacing w:after="0" w:line="360" w:lineRule="auto"/>
        <w:ind w:left="2127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Art. 39 – Compete à Câmara, fundamentalmente: </w:t>
      </w:r>
    </w:p>
    <w:p w:rsidR="00E46DE2" w:rsidRPr="00506635" w:rsidRDefault="007A1E81" w:rsidP="00506635">
      <w:pPr>
        <w:spacing w:after="198" w:line="360" w:lineRule="auto"/>
        <w:ind w:left="2127" w:right="5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I - </w:t>
      </w:r>
      <w:proofErr w:type="gramStart"/>
      <w:r w:rsidRPr="00506635">
        <w:rPr>
          <w:rFonts w:ascii="Times New Roman" w:eastAsia="Times New Roman" w:hAnsi="Times New Roman" w:cs="Times New Roman"/>
          <w:b/>
          <w:i/>
          <w:color w:val="auto"/>
        </w:rPr>
        <w:t>legislar</w:t>
      </w:r>
      <w:proofErr w:type="gramEnd"/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, com a sanção do prefeito, sobre todas as matérias de competência do Município; </w:t>
      </w:r>
    </w:p>
    <w:p w:rsidR="00974AA2" w:rsidRPr="00506635" w:rsidRDefault="007A1E81" w:rsidP="00506635">
      <w:pPr>
        <w:spacing w:after="198" w:line="360" w:lineRule="auto"/>
        <w:ind w:left="2127" w:right="5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lastRenderedPageBreak/>
        <w:t xml:space="preserve">Art. 171.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Lei municipal disporá sobre a fixação de datas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comemorativas de fatos relevantes para a cultura do Município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.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0" w:line="360" w:lineRule="auto"/>
        <w:ind w:left="212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after="201" w:line="360" w:lineRule="auto"/>
        <w:ind w:left="-15" w:firstLine="58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Corroborando acerca das competências municipais, os ensinamentos do mestre </w:t>
      </w:r>
      <w:r w:rsidRPr="00506635">
        <w:rPr>
          <w:rFonts w:ascii="Times New Roman" w:eastAsia="Times New Roman" w:hAnsi="Times New Roman" w:cs="Times New Roman"/>
          <w:b/>
          <w:color w:val="auto"/>
        </w:rPr>
        <w:t>Nelson Nery Costa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Direito Municipal Brasileiro, 8ª edição, GZ Editora, p. 177: </w:t>
      </w:r>
    </w:p>
    <w:p w:rsidR="00974AA2" w:rsidRPr="00506635" w:rsidRDefault="007A1E81" w:rsidP="00506635">
      <w:pPr>
        <w:spacing w:after="199" w:line="360" w:lineRule="auto"/>
        <w:ind w:left="2127" w:right="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Competem, ainda, à Câmara Municipal diversas outras matérias, naquilo que seja classificado como interesse local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podendo ser a aprovação de autorização de empréstimos e operações de crédito, assim como a forma e os meios de pagamento; delimitar o perímetro urbano; autorizar a concessão de auxílio e subvenções; denominar os próprios, vias e logradouros públicos; estabelecer programas e planos de desenvolvimento. Pode, ainda, elaborar leis sobre registro, vacinação e capturas de animais; sobre concessão de licenças e alvarás; dispor sobre denominação, numeração e emplacamento de logradouros públicos; legislar sobre os serviços de transporte coletivo urbano e </w:t>
      </w:r>
      <w:proofErr w:type="spellStart"/>
      <w:r w:rsidRPr="00506635">
        <w:rPr>
          <w:rFonts w:ascii="Times New Roman" w:eastAsia="Times New Roman" w:hAnsi="Times New Roman" w:cs="Times New Roman"/>
          <w:i/>
          <w:color w:val="auto"/>
        </w:rPr>
        <w:t>intramunicipal</w:t>
      </w:r>
      <w:proofErr w:type="spellEnd"/>
      <w:r w:rsidRPr="00506635">
        <w:rPr>
          <w:rFonts w:ascii="Times New Roman" w:eastAsia="Times New Roman" w:hAnsi="Times New Roman" w:cs="Times New Roman"/>
          <w:i/>
          <w:color w:val="auto"/>
        </w:rPr>
        <w:t>, abastecimento de água e esgotos sanitários; mercados, feiras e matadouros locais; cemitérios e serviços funerários; iluminação, limpeza públi</w:t>
      </w:r>
      <w:r w:rsidR="00FE6E38" w:rsidRPr="00506635">
        <w:rPr>
          <w:rFonts w:ascii="Times New Roman" w:eastAsia="Times New Roman" w:hAnsi="Times New Roman" w:cs="Times New Roman"/>
          <w:i/>
          <w:color w:val="auto"/>
        </w:rPr>
        <w:t xml:space="preserve">ca, dentre outras </w:t>
      </w:r>
      <w:proofErr w:type="gramStart"/>
      <w:r w:rsidR="00FE6E38" w:rsidRPr="00506635">
        <w:rPr>
          <w:rFonts w:ascii="Times New Roman" w:eastAsia="Times New Roman" w:hAnsi="Times New Roman" w:cs="Times New Roman"/>
          <w:i/>
          <w:color w:val="auto"/>
        </w:rPr>
        <w:t>competências.</w:t>
      </w:r>
      <w:r w:rsidRPr="00506635">
        <w:rPr>
          <w:rFonts w:ascii="Times New Roman" w:eastAsia="Times New Roman" w:hAnsi="Times New Roman" w:cs="Times New Roman"/>
          <w:i/>
          <w:color w:val="auto"/>
        </w:rPr>
        <w:t>”</w:t>
      </w:r>
      <w:proofErr w:type="gramEnd"/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176"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Por interesse local entende-se: </w:t>
      </w:r>
    </w:p>
    <w:p w:rsidR="00E46DE2" w:rsidRPr="00506635" w:rsidRDefault="007A1E81" w:rsidP="00506635">
      <w:pPr>
        <w:spacing w:before="240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nacional.”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(FERREIRA, Gilmar Mendes,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Gestão Pública e Direito Municipal, 1ª. ed., Saraiva).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before="240" w:line="360" w:lineRule="auto"/>
        <w:ind w:left="10" w:right="-9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Acrescenta </w:t>
      </w:r>
      <w:r w:rsidRPr="00506635">
        <w:rPr>
          <w:rFonts w:ascii="Times New Roman" w:eastAsia="Times New Roman" w:hAnsi="Times New Roman" w:cs="Times New Roman"/>
          <w:b/>
          <w:color w:val="auto"/>
        </w:rPr>
        <w:t>Hely Lopes Meirelles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Direito Municipal Brasileiro, 10ª ed., p. 457: </w:t>
      </w:r>
    </w:p>
    <w:p w:rsidR="006B4684" w:rsidRPr="00506635" w:rsidRDefault="007A1E81" w:rsidP="00506635">
      <w:pPr>
        <w:spacing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“De um modo geral,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pode a Câmara, por deliberação do plenário,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 xml:space="preserve">indicar medidas administrativas ao prefeito </w:t>
      </w:r>
      <w:proofErr w:type="spellStart"/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adjuvandi</w:t>
      </w:r>
      <w:proofErr w:type="spellEnd"/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 xml:space="preserve"> causa, isto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é, a título de colaboração e sem força coativa ou obrigatória para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lastRenderedPageBreak/>
        <w:t>Executivo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;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o que não pode é prover situações concretas por seus próprios atos ou impor ao Executivo a tomada de medidas específicas de sua exclusiva competência e atribuição. Usurpando funções do Executivo ou suprimindo atribuições do prefeito, a Câmara praticará ilegalidade reprimível por via judicial”.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974AA2" w:rsidRPr="00506635" w:rsidRDefault="007A1E81" w:rsidP="00E46DE2">
      <w:pPr>
        <w:spacing w:before="240" w:line="360" w:lineRule="auto"/>
        <w:ind w:left="10" w:right="-9" w:firstLine="55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Consoante tem sido o entendimento do Órgão Especial do Tribunal de Justiça de São Paulo. A Lei 4.639/2013, que instituiu o “Dia da Bíblia”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no município de Suzano e trata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de matéria análoga à em análise, foi declarada constitucional pelo Des. Rel. Antônio Carlos Malheiros na Ação Direta de Inconstitucionalidade, cumpre registrar o seguinte: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 Lei, ora em exame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, não tratou de matéria cuja iniciativa é reservada ao Chefe do Poder Executivo Municipal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não se vislumbrando violação dos princípios da competência exclusiva e da separação de poderes por invasão da esfera da gestão administrativa. (...) </w:t>
      </w:r>
    </w:p>
    <w:p w:rsidR="00974AA2" w:rsidRPr="00506635" w:rsidRDefault="007A1E81" w:rsidP="00506635">
      <w:pPr>
        <w:spacing w:after="212" w:line="360" w:lineRule="auto"/>
        <w:ind w:left="2112" w:right="-1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Por força da Constituição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 xml:space="preserve">,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os municípios foram dotados 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autonomia legislativa, que vem consubstanciada na capacidade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legislar sobre assuntos de interesse local, inclusive a fixação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datas comemorativa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>s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e de suplementar a legislação federal e estadual no que couber (art. 30, I e II, da CF). (...)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Observe-se, ainda, que a lei em foco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não importa em aumento da despesa pública,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na medida em que não há previsão nesse sentido, não obrigando o Poder Público à efetiva realização de comemoração ou festividade oficial.  (...)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Não se vê, portanto, qualquer ofensa na lei que institui mera data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</w:t>
      </w:r>
      <w:r w:rsidRPr="00506635">
        <w:rPr>
          <w:rFonts w:ascii="Times New Roman" w:eastAsia="Times New Roman" w:hAnsi="Times New Roman" w:cs="Times New Roman"/>
          <w:i/>
          <w:color w:val="auto"/>
        </w:rPr>
        <w:t>, ainda que com aplicação do princípio da simetria em relação às matérias de iniciativa exclusiva do Chefe do Poder Executivo do Município, razão pela qual deve ser julgada improcedente a ação direta de inconstitucionalidade”.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 </w:t>
      </w:r>
    </w:p>
    <w:p w:rsidR="00974AA2" w:rsidRPr="00506635" w:rsidRDefault="007A1E81" w:rsidP="00E46DE2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Isto posto, S.M.J, não se vislumbra obstáculos legais à tramitação do aludido Projeto de Lei, visto que não invade a competência do Executivo por sugerir medidas à Administração Pública a título de colaboração e sem força coativa ou obrigatória de execução.  </w:t>
      </w:r>
    </w:p>
    <w:p w:rsidR="00974AA2" w:rsidRPr="00506635" w:rsidRDefault="007A1E81" w:rsidP="00E46DE2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Ressalta-se que, quanto ao mérito, a competência para análise da matéria é única e exclusiva do Do</w:t>
      </w:r>
      <w:r w:rsidR="00E46DE2" w:rsidRPr="00506635">
        <w:rPr>
          <w:rFonts w:ascii="Times New Roman" w:eastAsia="Times New Roman" w:hAnsi="Times New Roman" w:cs="Times New Roman"/>
          <w:color w:val="auto"/>
        </w:rPr>
        <w:t>uto Plenário desta Casa de Leis.</w:t>
      </w:r>
    </w:p>
    <w:p w:rsidR="00974AA2" w:rsidRPr="00506635" w:rsidRDefault="007A1E81" w:rsidP="00E46DE2">
      <w:pPr>
        <w:spacing w:after="120"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lastRenderedPageBreak/>
        <w:t xml:space="preserve"> </w:t>
      </w:r>
    </w:p>
    <w:p w:rsidR="00974AA2" w:rsidRPr="00506635" w:rsidRDefault="007A1E81" w:rsidP="00E46DE2">
      <w:pPr>
        <w:pStyle w:val="Ttulo1"/>
        <w:spacing w:line="360" w:lineRule="auto"/>
        <w:ind w:left="718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QUORUM </w:t>
      </w:r>
    </w:p>
    <w:p w:rsidR="00974AA2" w:rsidRPr="00506635" w:rsidRDefault="007A1E81" w:rsidP="00E46DE2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Oportuno esclarecer que para a sua aprovação é exigido quórum de maioria simples, nos termos do artigo 53 da Lei Orgânica Municipal e artigo 56, inciso III do Regimento Interno da Câmara Municipal de Pouso Alegre. </w:t>
      </w:r>
    </w:p>
    <w:p w:rsidR="00974AA2" w:rsidRPr="00506635" w:rsidRDefault="007A1E81" w:rsidP="00E46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46DE2" w:rsidRPr="00506635" w:rsidRDefault="00E46DE2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974AA2" w:rsidRPr="00506635" w:rsidRDefault="007A1E81" w:rsidP="00E46DE2">
      <w:pPr>
        <w:pStyle w:val="Ttulo1"/>
        <w:spacing w:line="360" w:lineRule="auto"/>
        <w:ind w:left="718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CONCLUSÃO </w:t>
      </w:r>
    </w:p>
    <w:p w:rsidR="00974AA2" w:rsidRPr="00506635" w:rsidRDefault="007A1E81" w:rsidP="00147F9B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Por tais razões, exara-se </w:t>
      </w: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favorável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ao regular processo de tramitação do </w:t>
      </w:r>
      <w:r w:rsidR="00297FDE">
        <w:rPr>
          <w:rFonts w:ascii="Times New Roman" w:eastAsia="Times New Roman" w:hAnsi="Times New Roman" w:cs="Times New Roman"/>
          <w:b/>
          <w:color w:val="auto"/>
        </w:rPr>
        <w:t>Projeto de Lei 7.951</w:t>
      </w:r>
      <w:bookmarkStart w:id="0" w:name="_GoBack"/>
      <w:bookmarkEnd w:id="0"/>
      <w:r w:rsidR="00D65642" w:rsidRPr="00506635">
        <w:rPr>
          <w:rFonts w:ascii="Times New Roman" w:eastAsia="Times New Roman" w:hAnsi="Times New Roman" w:cs="Times New Roman"/>
          <w:b/>
          <w:color w:val="auto"/>
        </w:rPr>
        <w:t>/2024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 </w:t>
      </w:r>
    </w:p>
    <w:p w:rsidR="00974AA2" w:rsidRPr="00506635" w:rsidRDefault="007A1E81" w:rsidP="000307B9">
      <w:pPr>
        <w:spacing w:after="0" w:line="360" w:lineRule="auto"/>
        <w:ind w:left="718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É o modest</w:t>
      </w:r>
      <w:r w:rsidR="000307B9" w:rsidRPr="00506635">
        <w:rPr>
          <w:rFonts w:ascii="Times New Roman" w:eastAsia="Times New Roman" w:hAnsi="Times New Roman" w:cs="Times New Roman"/>
          <w:color w:val="auto"/>
        </w:rPr>
        <w:t>o entendimento e parecer, S.M.J.</w:t>
      </w:r>
    </w:p>
    <w:p w:rsidR="00974AA2" w:rsidRPr="00506635" w:rsidRDefault="007A1E81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307B9" w:rsidRDefault="000307B9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E76D3" w:rsidRPr="00506635" w:rsidRDefault="002E76D3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110FD" w:rsidRPr="00506635" w:rsidRDefault="00C110FD" w:rsidP="000307B9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C110FD" w:rsidRPr="00506635" w:rsidRDefault="00C110FD" w:rsidP="000307B9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>Carlos Eduardo de Oliveira Ribeiro</w:t>
      </w:r>
    </w:p>
    <w:p w:rsidR="00C110FD" w:rsidRPr="00506635" w:rsidRDefault="00C110FD" w:rsidP="000307B9">
      <w:pPr>
        <w:spacing w:after="0" w:line="276" w:lineRule="auto"/>
        <w:ind w:left="55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>OAB/MG nº 88.410</w:t>
      </w:r>
    </w:p>
    <w:p w:rsidR="00974AA2" w:rsidRPr="00506635" w:rsidRDefault="007A1E81" w:rsidP="00E46DE2">
      <w:pPr>
        <w:spacing w:line="360" w:lineRule="auto"/>
        <w:ind w:left="10" w:right="3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</w:p>
    <w:p w:rsidR="00974AA2" w:rsidRPr="00506635" w:rsidRDefault="007A1E81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hAnsi="Times New Roman" w:cs="Times New Roman"/>
          <w:color w:val="auto"/>
        </w:rPr>
        <w:t xml:space="preserve"> </w:t>
      </w:r>
    </w:p>
    <w:sectPr w:rsidR="00974AA2" w:rsidRPr="00506635">
      <w:footerReference w:type="even" r:id="rId8"/>
      <w:footerReference w:type="default" r:id="rId9"/>
      <w:footerReference w:type="first" r:id="rId10"/>
      <w:pgSz w:w="11906" w:h="16838"/>
      <w:pgMar w:top="1421" w:right="1696" w:bottom="153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73" w:rsidRDefault="00827D73">
      <w:pPr>
        <w:spacing w:after="0" w:line="240" w:lineRule="auto"/>
      </w:pPr>
      <w:r>
        <w:separator/>
      </w:r>
    </w:p>
  </w:endnote>
  <w:endnote w:type="continuationSeparator" w:id="0">
    <w:p w:rsidR="00827D73" w:rsidRDefault="0082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Pr="00297FDE" w:rsidRDefault="007A1E81">
    <w:pPr>
      <w:spacing w:after="0"/>
      <w:ind w:right="4"/>
      <w:jc w:val="right"/>
      <w:rPr>
        <w:sz w:val="18"/>
      </w:rPr>
    </w:pPr>
    <w:r w:rsidRPr="00297FDE">
      <w:rPr>
        <w:rFonts w:ascii="Times New Roman" w:eastAsia="Times New Roman" w:hAnsi="Times New Roman" w:cs="Times New Roman"/>
      </w:rPr>
      <w:fldChar w:fldCharType="begin"/>
    </w:r>
    <w:r w:rsidRPr="00297FDE">
      <w:rPr>
        <w:rFonts w:ascii="Times New Roman" w:eastAsia="Times New Roman" w:hAnsi="Times New Roman" w:cs="Times New Roman"/>
      </w:rPr>
      <w:instrText xml:space="preserve"> PAGE   \* MERGEFORMAT </w:instrText>
    </w:r>
    <w:r w:rsidRPr="00297FDE">
      <w:rPr>
        <w:rFonts w:ascii="Times New Roman" w:eastAsia="Times New Roman" w:hAnsi="Times New Roman" w:cs="Times New Roman"/>
      </w:rPr>
      <w:fldChar w:fldCharType="separate"/>
    </w:r>
    <w:r w:rsidR="00297FDE">
      <w:rPr>
        <w:rFonts w:ascii="Times New Roman" w:eastAsia="Times New Roman" w:hAnsi="Times New Roman" w:cs="Times New Roman"/>
        <w:noProof/>
      </w:rPr>
      <w:t>5</w:t>
    </w:r>
    <w:r w:rsidRPr="00297FDE">
      <w:rPr>
        <w:rFonts w:ascii="Times New Roman" w:eastAsia="Times New Roman" w:hAnsi="Times New Roman" w:cs="Times New Roman"/>
      </w:rPr>
      <w:fldChar w:fldCharType="end"/>
    </w:r>
    <w:r w:rsidRPr="00297FDE">
      <w:rPr>
        <w:rFonts w:ascii="Times New Roman" w:eastAsia="Times New Roman" w:hAnsi="Times New Roman" w:cs="Times New Roman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73" w:rsidRDefault="00827D73">
      <w:pPr>
        <w:spacing w:after="0" w:line="240" w:lineRule="auto"/>
      </w:pPr>
      <w:r>
        <w:separator/>
      </w:r>
    </w:p>
  </w:footnote>
  <w:footnote w:type="continuationSeparator" w:id="0">
    <w:p w:rsidR="00827D73" w:rsidRDefault="0082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207B7"/>
    <w:multiLevelType w:val="hybridMultilevel"/>
    <w:tmpl w:val="426C9BF4"/>
    <w:lvl w:ilvl="0" w:tplc="55B46AB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E0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2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88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9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6E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A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E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A2"/>
    <w:rsid w:val="00014F59"/>
    <w:rsid w:val="000307B9"/>
    <w:rsid w:val="00147F9B"/>
    <w:rsid w:val="00297FDE"/>
    <w:rsid w:val="002E76D3"/>
    <w:rsid w:val="00315F39"/>
    <w:rsid w:val="00467BBF"/>
    <w:rsid w:val="00506635"/>
    <w:rsid w:val="005B124E"/>
    <w:rsid w:val="00660DF3"/>
    <w:rsid w:val="006671D5"/>
    <w:rsid w:val="006B4684"/>
    <w:rsid w:val="00786342"/>
    <w:rsid w:val="007A1E81"/>
    <w:rsid w:val="00827D73"/>
    <w:rsid w:val="0096263E"/>
    <w:rsid w:val="00974AA2"/>
    <w:rsid w:val="00AC3B92"/>
    <w:rsid w:val="00C110FD"/>
    <w:rsid w:val="00D65642"/>
    <w:rsid w:val="00E34A20"/>
    <w:rsid w:val="00E46759"/>
    <w:rsid w:val="00E46DE2"/>
    <w:rsid w:val="00F35116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E6CE-EDBB-43CD-A1C5-79F3C92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9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97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F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BECB-31D9-4497-BAE1-0F24019D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1260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cp:keywords/>
  <cp:lastModifiedBy>user4008</cp:lastModifiedBy>
  <cp:revision>5</cp:revision>
  <dcterms:created xsi:type="dcterms:W3CDTF">2024-06-18T17:29:00Z</dcterms:created>
  <dcterms:modified xsi:type="dcterms:W3CDTF">2024-06-28T14:53:00Z</dcterms:modified>
</cp:coreProperties>
</file>