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0A7EEE" w:rsidRPr="000A7EEE">
        <w:rPr>
          <w:rFonts w:ascii="Times New Roman" w:eastAsia="Times New Roman" w:hAnsi="Times New Roman" w:cs="Times New Roman"/>
          <w:b/>
        </w:rPr>
        <w:t>19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DE1700" w:rsidRPr="000A7EEE">
        <w:rPr>
          <w:rFonts w:ascii="Times New Roman" w:eastAsia="Times New Roman" w:hAnsi="Times New Roman" w:cs="Times New Roman"/>
          <w:b/>
        </w:rPr>
        <w:t>junho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0012B4">
        <w:rPr>
          <w:rFonts w:ascii="Times New Roman" w:eastAsia="Times New Roman" w:hAnsi="Times New Roman" w:cs="Times New Roman"/>
          <w:b/>
        </w:rPr>
        <w:t>49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proofErr w:type="spellStart"/>
      <w:r w:rsidR="000012B4" w:rsidRPr="000012B4">
        <w:rPr>
          <w:rFonts w:ascii="Times New Roman" w:eastAsia="Times New Roman" w:hAnsi="Times New Roman" w:cs="Times New Roman"/>
          <w:b/>
        </w:rPr>
        <w:t>Dionicio</w:t>
      </w:r>
      <w:proofErr w:type="spellEnd"/>
      <w:r w:rsidR="000012B4" w:rsidRPr="000012B4"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 w:rsidR="000012B4" w:rsidRPr="000012B4">
        <w:rPr>
          <w:rFonts w:ascii="Times New Roman" w:eastAsia="Times New Roman" w:hAnsi="Times New Roman" w:cs="Times New Roman"/>
          <w:b/>
        </w:rPr>
        <w:t>Pantano</w:t>
      </w:r>
      <w:proofErr w:type="spellEnd"/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0012B4" w:rsidRPr="000012B4">
        <w:rPr>
          <w:rFonts w:ascii="Times New Roman" w:hAnsi="Times New Roman" w:cs="Times New Roman"/>
          <w:b/>
        </w:rPr>
        <w:t>ESTRADA MUNICIPAL JÚLIO VICENTE PEREIRA (*1939 +</w:t>
      </w:r>
      <w:proofErr w:type="gramStart"/>
      <w:r w:rsidR="000012B4" w:rsidRPr="000012B4">
        <w:rPr>
          <w:rFonts w:ascii="Times New Roman" w:hAnsi="Times New Roman" w:cs="Times New Roman"/>
          <w:b/>
        </w:rPr>
        <w:t>2019)</w:t>
      </w:r>
      <w:r w:rsidRPr="00BA4608">
        <w:rPr>
          <w:rFonts w:ascii="Times New Roman" w:hAnsi="Times New Roman" w:cs="Times New Roman"/>
          <w:b/>
        </w:rPr>
        <w:t>”</w:t>
      </w:r>
      <w:proofErr w:type="gramEnd"/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0012B4" w:rsidRPr="000012B4">
        <w:rPr>
          <w:rFonts w:ascii="Times New Roman" w:eastAsia="Times New Roman" w:hAnsi="Times New Roman" w:cs="Times New Roman"/>
        </w:rPr>
        <w:t xml:space="preserve">assa a denominar-se ESTRADA MUNICIPAL JÚLIO VICENTE PEREIRA a atual estrada sem denominação, com início na Rua Manuel Silvério Pereira e final na Estrada Municipal da Comunidade da Serrinha, localizada no Distrito São José do </w:t>
      </w:r>
      <w:proofErr w:type="spellStart"/>
      <w:r w:rsidR="000012B4" w:rsidRPr="000012B4">
        <w:rPr>
          <w:rFonts w:ascii="Times New Roman" w:eastAsia="Times New Roman" w:hAnsi="Times New Roman" w:cs="Times New Roman"/>
        </w:rPr>
        <w:t>Pantano</w:t>
      </w:r>
      <w:proofErr w:type="spellEnd"/>
      <w:r w:rsidR="000012B4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 xml:space="preserve">aduz que </w:t>
      </w:r>
      <w:r w:rsidR="000012B4">
        <w:rPr>
          <w:rFonts w:ascii="Times New Roman" w:eastAsia="Times New Roman" w:hAnsi="Times New Roman" w:cs="Times New Roman"/>
        </w:rPr>
        <w:t>r</w:t>
      </w:r>
      <w:bookmarkStart w:id="0" w:name="_GoBack"/>
      <w:bookmarkEnd w:id="0"/>
      <w:r w:rsidR="000012B4" w:rsidRPr="000012B4">
        <w:rPr>
          <w:rFonts w:ascii="Times New Roman" w:eastAsia="Times New Roman" w:hAnsi="Times New Roman" w:cs="Times New Roman"/>
        </w:rPr>
        <w:t xml:space="preserve">evogadas as disposições em contrário, esta Lei entra em </w:t>
      </w:r>
      <w:r w:rsidR="000012B4">
        <w:rPr>
          <w:rFonts w:ascii="Times New Roman" w:eastAsia="Times New Roman" w:hAnsi="Times New Roman" w:cs="Times New Roman"/>
        </w:rPr>
        <w:t>vigor na data de sua publicação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, o Poder Legislativo local poderá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>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que há certidão de óbito, mapa, antecedentes criminais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lastRenderedPageBreak/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0012B4">
        <w:rPr>
          <w:rFonts w:ascii="Times New Roman" w:eastAsia="Times New Roman" w:hAnsi="Times New Roman" w:cs="Times New Roman"/>
          <w:b/>
        </w:rPr>
        <w:t>49</w:t>
      </w:r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7C5BBA" w:rsidRPr="00BA4608" w:rsidRDefault="007C5BBA" w:rsidP="00BA4608">
      <w:pPr>
        <w:spacing w:after="0" w:line="360" w:lineRule="auto"/>
      </w:pPr>
    </w:p>
    <w:sectPr w:rsidR="007C5BBA" w:rsidRPr="00BA460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0012B4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12B4"/>
    <w:rsid w:val="00054505"/>
    <w:rsid w:val="000729BE"/>
    <w:rsid w:val="00093406"/>
    <w:rsid w:val="000A7EEE"/>
    <w:rsid w:val="000E3B6A"/>
    <w:rsid w:val="001E4836"/>
    <w:rsid w:val="00211F7D"/>
    <w:rsid w:val="00223F90"/>
    <w:rsid w:val="0028476A"/>
    <w:rsid w:val="002A0AE8"/>
    <w:rsid w:val="002C3C8F"/>
    <w:rsid w:val="002D7377"/>
    <w:rsid w:val="002E6940"/>
    <w:rsid w:val="00300B8B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63A9A"/>
    <w:rsid w:val="0087083E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B41A7"/>
    <w:rsid w:val="00AD2D44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12</cp:revision>
  <cp:lastPrinted>2024-05-06T18:06:00Z</cp:lastPrinted>
  <dcterms:created xsi:type="dcterms:W3CDTF">2024-05-06T18:04:00Z</dcterms:created>
  <dcterms:modified xsi:type="dcterms:W3CDTF">2024-06-19T18:29:00Z</dcterms:modified>
</cp:coreProperties>
</file>