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832</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Miguel Júnior Tomatinho</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um estudo de viabilidade para realização do reforço da pintura da faixa de pedestres localizada em frente ao supermercado São João, na Rua Francisco Massafera, no bairro São João.</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A presente solicitação tem por objetivo garantir a segurança de transeuntes, visto ser uma rua bastante movimentada devido a quantidade de comércio nela existente. Deste modo solicitam sua atenção especial no pedido.</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18 de junho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18 de junho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18 de junho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