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Santo Expedito.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