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365</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Odair Quincote</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em caráter de urgência, a reforma e a recomposição das cabeceiras da ponte da estrada rural do bairro das Cabritas.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 xml:space="preserve">Os moradores do referido bairro reclamam que as cabeceiras da referida ponte necessitam de reforma, pois estão com a estrutura danificada. </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As cabeceiras da ponte estão visivelmente comprometidas, apresentando sinais claros de deterioração estrutural. Este estado alarmante representa um risco iminente de colapso, que poderia resultar em consequências devastadoras para os usuários da estrada, incluindo ferimentos graves e até mesmo perda de vidas. A maioria dos residentes desta área depende da agricultura como principal fonte de sustento. A incapacidade de acessar facilmente suas terras devido à situação da ponte está prejudicando seriamente suas atividades agrícolas, o que, por sua vez, está afetando negativamente a economia local e a segurança alimentar das famílias. Portanto, solicito encarecidamente que a reforma e a recomposição das cabeceiras da ponte na estrada rural do bairro das Cabritas sejam priorizadas e realizadas com a máxima urgência possível. Esta ação não apenas protegerá a vida e a integridade de nossos cidadãos, mas também promoverá o desenvolvimento de nossa comunidade a longo prazo.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16 de abril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16 de abril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16 de abril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