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357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melhorias na quadra de esportes do bairro Santo Ivo, próximo ao pesqueiro paraíso.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moradores, no que tange a realização de melhorias na quadra de esporte do bairro. No local é necessário limpeza, capina, pintura e realização de reforma da quadra. Por fim, é evidente que a presente solicitação merece ser acolhida pelo Poder Executivo Municipal,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16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16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16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