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52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7174/2015, que “ALTERA A REDAÇÃO DA EMENTA, DO ARTIGO 1º E DO PARÁGRAFO ÚNICO DO ART. 2º DA LEI MUNICIPAL Nº 5.584/2015, QUE DISPÕE SOBRE A OBRIGATORIEDADE DAS INSTITUIÇÕES BANCÁRIAS E CASAS LOTÉRICAS INSTALAREM TAPUMES, BIOMBOS OU ESTRUTURAS SIMILARES EM SUAS AGÊNCIAS E POSTOS DE ATENDIMENTO..”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D261E3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Os dispositivos gerais de segurança das casas lotéricas são bastante diferentes das agências bancárias, e o mesmo teor de regramento, disposto na Lei nº 5.584/2015, aumenta a insegurança nas casas lotéricas.</w:t>
      </w:r>
    </w:p>
    <w:p w:rsidR="00D261E3" w:rsidRDefault="00D261E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D261E3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Seguindo orientações da Caixa Econômica Federal, Policia Militar e das seguradoras, a necessidade fundamental para a garantia da segurança nas casas lotéricas é a visibilidade, ação esta inibida pela presente Lei.</w:t>
      </w:r>
    </w:p>
    <w:p w:rsidR="00D261E3" w:rsidRDefault="00D261E3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Portanto, faz-se mister a urgente aprovação desta Lei para garantir às casas lotéricas a segurança necessária para a prestação dos seus relevantes serviços.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20 de Outubro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D261E3" w:rsidRDefault="00EA70BB" w:rsidP="00D261E3">
            <w:pPr>
              <w:jc w:val="center"/>
              <w:rPr>
                <w:color w:val="000000"/>
              </w:rPr>
            </w:pPr>
            <w:r w:rsidRPr="00D261E3">
              <w:rPr>
                <w:color w:val="000000"/>
              </w:rPr>
              <w:t xml:space="preserve"> </w:t>
            </w:r>
            <w:r w:rsidR="00D261E3" w:rsidRPr="00D261E3">
              <w:rPr>
                <w:color w:val="000000"/>
              </w:rPr>
              <w:t>Rafael Huhn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D261E3" w:rsidRDefault="00EA70BB" w:rsidP="00D261E3">
            <w:pPr>
              <w:jc w:val="center"/>
              <w:rPr>
                <w:color w:val="000000"/>
                <w:sz w:val="20"/>
                <w:szCs w:val="20"/>
              </w:rPr>
            </w:pPr>
            <w:r w:rsidRPr="00D261E3">
              <w:rPr>
                <w:color w:val="000000"/>
                <w:sz w:val="20"/>
                <w:szCs w:val="20"/>
              </w:rPr>
              <w:t xml:space="preserve"> </w:t>
            </w:r>
            <w:r w:rsidR="00D261E3" w:rsidRPr="00D261E3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70B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D261E3" w:rsidRDefault="00D261E3" w:rsidP="00EA70BB">
      <w:pPr>
        <w:ind w:left="3969"/>
        <w:rPr>
          <w:rFonts w:ascii="Arial" w:hAnsi="Arial" w:cs="Arial"/>
          <w:color w:val="000000"/>
          <w:sz w:val="20"/>
        </w:rPr>
      </w:pPr>
    </w:p>
    <w:p w:rsidR="00D261E3" w:rsidRPr="00F2675B" w:rsidRDefault="00D261E3" w:rsidP="00EA70BB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261E3" w:rsidTr="00D261E3">
        <w:tc>
          <w:tcPr>
            <w:tcW w:w="4322" w:type="dxa"/>
          </w:tcPr>
          <w:p w:rsidR="00D261E3" w:rsidRPr="00D261E3" w:rsidRDefault="00D261E3" w:rsidP="00D261E3">
            <w:pPr>
              <w:jc w:val="center"/>
              <w:rPr>
                <w:sz w:val="24"/>
                <w:szCs w:val="24"/>
              </w:rPr>
            </w:pPr>
            <w:r w:rsidRPr="00D261E3">
              <w:rPr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</w:tcPr>
          <w:p w:rsidR="00D261E3" w:rsidRPr="00D261E3" w:rsidRDefault="00D261E3" w:rsidP="00D261E3">
            <w:pPr>
              <w:jc w:val="center"/>
              <w:rPr>
                <w:sz w:val="24"/>
                <w:szCs w:val="24"/>
              </w:rPr>
            </w:pPr>
            <w:r w:rsidRPr="00D261E3">
              <w:rPr>
                <w:sz w:val="24"/>
                <w:szCs w:val="24"/>
              </w:rPr>
              <w:t>Ayrton Zorzi</w:t>
            </w:r>
          </w:p>
        </w:tc>
      </w:tr>
      <w:tr w:rsidR="00D261E3" w:rsidTr="00D261E3">
        <w:tc>
          <w:tcPr>
            <w:tcW w:w="4322" w:type="dxa"/>
          </w:tcPr>
          <w:p w:rsidR="00D261E3" w:rsidRPr="00D261E3" w:rsidRDefault="00D261E3" w:rsidP="00D261E3">
            <w:pPr>
              <w:jc w:val="center"/>
              <w:rPr>
                <w:sz w:val="20"/>
                <w:szCs w:val="20"/>
              </w:rPr>
            </w:pPr>
            <w:r w:rsidRPr="00D261E3">
              <w:rPr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</w:tcPr>
          <w:p w:rsidR="00D261E3" w:rsidRPr="00D261E3" w:rsidRDefault="00D261E3" w:rsidP="00D261E3">
            <w:pPr>
              <w:jc w:val="center"/>
              <w:rPr>
                <w:sz w:val="20"/>
                <w:szCs w:val="20"/>
              </w:rPr>
            </w:pPr>
            <w:r w:rsidRPr="00D261E3">
              <w:rPr>
                <w:sz w:val="20"/>
                <w:szCs w:val="20"/>
              </w:rPr>
              <w:t>1º SECRETÁRIO</w:t>
            </w:r>
          </w:p>
        </w:tc>
      </w:tr>
    </w:tbl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9D" w:rsidRDefault="000D4B9D" w:rsidP="002704B9">
      <w:r>
        <w:separator/>
      </w:r>
    </w:p>
  </w:endnote>
  <w:endnote w:type="continuationSeparator" w:id="1">
    <w:p w:rsidR="000D4B9D" w:rsidRDefault="000D4B9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232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0D4B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4B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0D4B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4B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9D" w:rsidRDefault="000D4B9D" w:rsidP="002704B9">
      <w:r>
        <w:separator/>
      </w:r>
    </w:p>
  </w:footnote>
  <w:footnote w:type="continuationSeparator" w:id="1">
    <w:p w:rsidR="000D4B9D" w:rsidRDefault="000D4B9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4B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232D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32D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0D4B9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0D4B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D4B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4B9D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2DB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1E3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26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2015-10-20T18:13:00Z</dcterms:created>
  <dcterms:modified xsi:type="dcterms:W3CDTF">2015-10-20T18:13:00Z</dcterms:modified>
</cp:coreProperties>
</file>