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119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as informações </w:t>
      </w:r>
      <w:r w:rsidR="00824845">
        <w:rPr>
          <w:color w:val="000000"/>
        </w:rPr>
        <w:t xml:space="preserve">de providências tomadas em </w:t>
      </w:r>
      <w:r w:rsidR="007934DD">
        <w:rPr>
          <w:color w:val="000000"/>
        </w:rPr>
        <w:t xml:space="preserve">face da condenação de servidor </w:t>
      </w:r>
      <w:r w:rsidR="00824845">
        <w:rPr>
          <w:color w:val="000000"/>
        </w:rPr>
        <w:t>Messias Mora</w:t>
      </w:r>
      <w:r w:rsidR="007934DD">
        <w:rPr>
          <w:color w:val="000000"/>
        </w:rPr>
        <w:t>i</w:t>
      </w:r>
      <w:r w:rsidR="00824845">
        <w:rPr>
          <w:color w:val="000000"/>
        </w:rPr>
        <w:t>s por falsificação documental em concurso público, bem como informações a respeito de como as pessoas e o município serão ressarcidos pelos prejuízos causados pelo referido servidor.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82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 condenação em primeira instância do referido servidor torna necessário atitudes de ressarcimento do erário, correção nos processos de escolha de aulas, apontamento dos servidores lesados pela fraude para possíveis ações. É obrigação do </w:t>
      </w:r>
      <w:r w:rsidR="00824845">
        <w:t>P</w:t>
      </w:r>
      <w:r>
        <w:t xml:space="preserve">oder </w:t>
      </w:r>
      <w:r w:rsidR="00824845">
        <w:t>P</w:t>
      </w:r>
      <w:r>
        <w:t>úblico garantir a lisura de seus processos administrativos, quando, não efetivada, pelo menos o reconhecimento e a correção dos rumos para garantir o mínimo de justiça e reparação. Assim sendo, peço a aprovação deste requerimento.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19 de Setembro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67F2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4DB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4DD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4845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2014-01-21T18:06:00Z</cp:lastPrinted>
  <dcterms:created xsi:type="dcterms:W3CDTF">2017-09-19T17:27:00Z</dcterms:created>
  <dcterms:modified xsi:type="dcterms:W3CDTF">2017-09-19T17:29:00Z</dcterms:modified>
</cp:coreProperties>
</file>