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F026C1">
      <w:pPr>
        <w:ind w:firstLine="2835"/>
        <w:jc w:val="both"/>
        <w:rPr>
          <w:color w:val="000000"/>
        </w:rPr>
      </w:pPr>
      <w:r>
        <w:rPr>
          <w:color w:val="000000"/>
        </w:rPr>
        <w:t>O Vereador signatário deste requer, com fundamento no artigo 264 do Regimento Interno, esclarecimentos acerca dos fundamentos que autorizaram o recebimento do Projeto de Resolução Nº 1295/2017, diante das vedações regimentais constantes dos artigos 246, incisos III e VI e 247, haja vista o anterior protocolo do Projeto de Resolução Nº 1294/2017, cujo substitutivo encontra-se tramitando.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F026C1" w:rsidRDefault="001D42CC" w:rsidP="00F02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 xml:space="preserve">Conforme expressa previsão regimental, constante do artigo 246, inciso VI, não será aceita "proposição que seja idêntica ou semelhante </w:t>
      </w:r>
      <w:proofErr w:type="gramStart"/>
      <w:r>
        <w:t>a</w:t>
      </w:r>
      <w:proofErr w:type="gramEnd"/>
      <w:r>
        <w:t xml:space="preserve"> outra em tramitação".</w:t>
      </w:r>
    </w:p>
    <w:p w:rsidR="00F026C1" w:rsidRDefault="001D42CC" w:rsidP="00F02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Prevê ainda, o mesmo artigo, em seu inciso III que não serão aceitas proposição que fira disposições regimentais.</w:t>
      </w:r>
    </w:p>
    <w:p w:rsidR="001D42CC" w:rsidRDefault="001D42CC" w:rsidP="00F02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Por tais razões, homenageando ainda o princípio da Legalidade, solicita que seja indicado o fundamento legal que sustentou o recebimento do Projeto de Resolução Nº 1295/2017.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30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877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6C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2017-05-30T16:51:00Z</dcterms:created>
  <dcterms:modified xsi:type="dcterms:W3CDTF">2017-05-30T16:51:00Z</dcterms:modified>
</cp:coreProperties>
</file>