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 w:rsidR="00757DB0">
        <w:rPr>
          <w:b/>
          <w:color w:val="000000"/>
        </w:rPr>
        <w:t>24</w:t>
      </w:r>
      <w:r>
        <w:rPr>
          <w:b/>
          <w:color w:val="000000"/>
        </w:rPr>
        <w:t xml:space="preserve"> /</w:t>
      </w:r>
      <w:bookmarkStart w:id="0" w:name="_GoBack"/>
      <w:bookmarkEnd w:id="0"/>
      <w:r w:rsidR="00757DB0">
        <w:rPr>
          <w:b/>
          <w:color w:val="000000"/>
        </w:rPr>
        <w:t xml:space="preserve"> 2015</w:t>
      </w:r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757DB0" w:rsidRDefault="00757DB0" w:rsidP="001D42CC">
      <w:pPr>
        <w:ind w:firstLine="2835"/>
        <w:jc w:val="both"/>
        <w:rPr>
          <w:color w:val="000000"/>
        </w:rPr>
      </w:pPr>
    </w:p>
    <w:p w:rsidR="00757DB0" w:rsidRDefault="00757DB0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Quais são os servidores beneficiados com a “Lei do </w:t>
      </w:r>
      <w:proofErr w:type="spellStart"/>
      <w:r>
        <w:rPr>
          <w:color w:val="000000"/>
        </w:rPr>
        <w:t>Apostilamento</w:t>
      </w:r>
      <w:proofErr w:type="spellEnd"/>
      <w:r>
        <w:rPr>
          <w:color w:val="000000"/>
        </w:rPr>
        <w:t>” e seus respectivos cargos;</w:t>
      </w:r>
    </w:p>
    <w:p w:rsidR="00757DB0" w:rsidRDefault="00757DB0" w:rsidP="001D42CC">
      <w:pPr>
        <w:ind w:firstLine="2835"/>
        <w:jc w:val="both"/>
        <w:rPr>
          <w:color w:val="000000"/>
        </w:rPr>
      </w:pPr>
      <w:r>
        <w:rPr>
          <w:color w:val="000000"/>
        </w:rPr>
        <w:t>Relacionar o vencimento do cargo original e o vencimento do cargo apostilado, bem como o impacto financeiro mensal e anual gerado por esta situação;</w:t>
      </w:r>
    </w:p>
    <w:p w:rsidR="00757DB0" w:rsidRDefault="00757DB0" w:rsidP="001D42CC">
      <w:pPr>
        <w:ind w:firstLine="2835"/>
        <w:jc w:val="both"/>
        <w:rPr>
          <w:color w:val="000000"/>
        </w:rPr>
      </w:pPr>
      <w:r>
        <w:rPr>
          <w:color w:val="000000"/>
        </w:rPr>
        <w:t>Quais efetivos ocupam cargos comissionados e por quanto tempo.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757DB0" w:rsidP="00757D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Tais informações visam esclarecer a esta Casa de Leis e a população algumas dúvidas a respeito do referido assunto.</w:t>
      </w:r>
    </w:p>
    <w:p w:rsidR="00757DB0" w:rsidRDefault="00757DB0" w:rsidP="00757D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757DB0" w:rsidRDefault="00757DB0" w:rsidP="00757D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proofErr w:type="gramStart"/>
      <w:r>
        <w:t>De acordo com o artigo 69, inciso XXVII, da Lei Orgânica Municipal é atribuição do Prefeito prestar à Câmara Municipal informações solicitadas, no prazo de 20 (vinte) dias, contados do recebimento da solicitação”</w:t>
      </w:r>
      <w:proofErr w:type="gramEnd"/>
      <w:r>
        <w:t>.</w:t>
      </w:r>
    </w:p>
    <w:p w:rsidR="001D42CC" w:rsidRDefault="001D42CC" w:rsidP="001D42CC">
      <w:pPr>
        <w:pStyle w:val="Normal0"/>
        <w:ind w:right="567" w:firstLine="2835"/>
        <w:jc w:val="both"/>
        <w:rPr>
          <w:rFonts w:ascii="Calibri" w:eastAsia="Calibri" w:hAnsi="Calibri"/>
          <w:sz w:val="22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757DB0">
        <w:rPr>
          <w:color w:val="000000"/>
        </w:rPr>
        <w:t>14 de Abril de 2015</w:t>
      </w:r>
      <w:r>
        <w:rPr>
          <w:color w:val="000000"/>
        </w:rPr>
        <w:t>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Default="00757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174C50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174C50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57DB0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495E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2015-04-13T20:15:00Z</dcterms:created>
  <dcterms:modified xsi:type="dcterms:W3CDTF">2015-04-13T20:15:00Z</dcterms:modified>
</cp:coreProperties>
</file>