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85 / 2017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Pr="00E828E8" w:rsidRDefault="001D42CC" w:rsidP="001D42CC">
      <w:pPr>
        <w:ind w:left="2835"/>
        <w:rPr>
          <w:color w:val="000000"/>
          <w:sz w:val="23"/>
          <w:szCs w:val="23"/>
        </w:rPr>
      </w:pPr>
      <w:r w:rsidRPr="00E828E8">
        <w:rPr>
          <w:color w:val="000000"/>
          <w:sz w:val="23"/>
          <w:szCs w:val="23"/>
        </w:rPr>
        <w:t>Senhor Presidente,</w:t>
      </w:r>
    </w:p>
    <w:p w:rsidR="001D42CC" w:rsidRPr="00E828E8" w:rsidRDefault="001D42CC" w:rsidP="001D42CC">
      <w:pPr>
        <w:ind w:left="2835"/>
        <w:rPr>
          <w:color w:val="000000"/>
          <w:sz w:val="23"/>
          <w:szCs w:val="23"/>
        </w:rPr>
      </w:pPr>
    </w:p>
    <w:p w:rsidR="00E828E8" w:rsidRPr="00E828E8" w:rsidRDefault="001D42CC" w:rsidP="000E0A3C">
      <w:pPr>
        <w:ind w:firstLine="2835"/>
        <w:jc w:val="both"/>
        <w:rPr>
          <w:color w:val="000000"/>
          <w:sz w:val="23"/>
          <w:szCs w:val="23"/>
        </w:rPr>
      </w:pPr>
      <w:r w:rsidRPr="00E828E8">
        <w:rPr>
          <w:color w:val="000000"/>
          <w:sz w:val="23"/>
          <w:szCs w:val="23"/>
        </w:rPr>
        <w:t>O</w:t>
      </w:r>
      <w:r w:rsidR="00E828E8">
        <w:rPr>
          <w:color w:val="000000"/>
          <w:sz w:val="23"/>
          <w:szCs w:val="23"/>
        </w:rPr>
        <w:t>s</w:t>
      </w:r>
      <w:r w:rsidRPr="00E828E8">
        <w:rPr>
          <w:color w:val="000000"/>
          <w:sz w:val="23"/>
          <w:szCs w:val="23"/>
        </w:rPr>
        <w:t xml:space="preserve"> Vereador</w:t>
      </w:r>
      <w:r w:rsidR="00E828E8">
        <w:rPr>
          <w:color w:val="000000"/>
          <w:sz w:val="23"/>
          <w:szCs w:val="23"/>
        </w:rPr>
        <w:t>es</w:t>
      </w:r>
      <w:r w:rsidRPr="00E828E8">
        <w:rPr>
          <w:color w:val="000000"/>
          <w:sz w:val="23"/>
          <w:szCs w:val="23"/>
        </w:rPr>
        <w:t xml:space="preserve"> que </w:t>
      </w:r>
      <w:proofErr w:type="gramStart"/>
      <w:r w:rsidRPr="00E828E8">
        <w:rPr>
          <w:color w:val="000000"/>
          <w:sz w:val="23"/>
          <w:szCs w:val="23"/>
        </w:rPr>
        <w:t>subscreve</w:t>
      </w:r>
      <w:r w:rsidR="00E828E8">
        <w:rPr>
          <w:color w:val="000000"/>
          <w:sz w:val="23"/>
          <w:szCs w:val="23"/>
        </w:rPr>
        <w:t>m</w:t>
      </w:r>
      <w:r w:rsidRPr="00E828E8">
        <w:rPr>
          <w:color w:val="000000"/>
          <w:sz w:val="23"/>
          <w:szCs w:val="23"/>
        </w:rPr>
        <w:t>,</w:t>
      </w:r>
      <w:proofErr w:type="gramEnd"/>
      <w:r w:rsidRPr="00E828E8">
        <w:rPr>
          <w:color w:val="000000"/>
          <w:sz w:val="23"/>
          <w:szCs w:val="23"/>
        </w:rPr>
        <w:t xml:space="preserve"> consoante disposto nos artigos, 264, I, e 316, I, do Regimento Interno da Câmara Municipal de Pouso Alegre e do art. 41 da Lei Orgânica do Município de Pouso Alegre, com finalidade de evidenciar o impacto no patrimônio dos ganhos e/ou perdas com os investimentos do Instituto de Previdência Municipal de Pouso Alegre (IPREM) apresentados na prestação de contas do 1º Quadrimestre de 2017, requer</w:t>
      </w:r>
      <w:r w:rsidR="00E828E8">
        <w:rPr>
          <w:color w:val="000000"/>
          <w:sz w:val="23"/>
          <w:szCs w:val="23"/>
        </w:rPr>
        <w:t>em</w:t>
      </w:r>
      <w:r w:rsidRPr="00E828E8">
        <w:rPr>
          <w:color w:val="000000"/>
          <w:sz w:val="23"/>
          <w:szCs w:val="23"/>
        </w:rPr>
        <w:t xml:space="preserve"> que seja convocado o Diretor Presidente do IPREM a fim de prestar maiores informações ao Poder Legislativo sobre:</w:t>
      </w:r>
    </w:p>
    <w:p w:rsidR="00E828E8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</w:p>
    <w:p w:rsidR="00E828E8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  <w:r w:rsidRPr="00E828E8">
        <w:rPr>
          <w:color w:val="000000"/>
          <w:sz w:val="23"/>
          <w:szCs w:val="23"/>
        </w:rPr>
        <w:t xml:space="preserve">1- </w:t>
      </w:r>
      <w:r w:rsidR="001D42CC" w:rsidRPr="00E828E8">
        <w:rPr>
          <w:color w:val="000000"/>
          <w:sz w:val="23"/>
          <w:szCs w:val="23"/>
        </w:rPr>
        <w:t xml:space="preserve">Quais foram os motivos que levaram aos investimentos mal sucedidos que reduziram consideravelmente os rendimentos do IPREM no 1º Quadrimestre de 2017, já que foram </w:t>
      </w:r>
      <w:proofErr w:type="gramStart"/>
      <w:r w:rsidR="001D42CC" w:rsidRPr="00E828E8">
        <w:rPr>
          <w:color w:val="000000"/>
          <w:sz w:val="23"/>
          <w:szCs w:val="23"/>
        </w:rPr>
        <w:t>apresentadas redução de rentabilidade nas receitas de aplicações e perdas significativas (despesas) que chegaram ao montante</w:t>
      </w:r>
      <w:proofErr w:type="gramEnd"/>
      <w:r w:rsidR="001D42CC" w:rsidRPr="00E828E8">
        <w:rPr>
          <w:color w:val="000000"/>
          <w:sz w:val="23"/>
          <w:szCs w:val="23"/>
        </w:rPr>
        <w:t xml:space="preserve"> de R$ 719.510,08 em março de 2017 e R$ 2.197.302,47 em abril de 2017?</w:t>
      </w:r>
    </w:p>
    <w:p w:rsidR="00E828E8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</w:p>
    <w:p w:rsidR="00E828E8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  <w:r w:rsidRPr="00E828E8">
        <w:rPr>
          <w:color w:val="000000"/>
          <w:sz w:val="23"/>
          <w:szCs w:val="23"/>
        </w:rPr>
        <w:t xml:space="preserve">2- </w:t>
      </w:r>
      <w:r w:rsidR="001D42CC" w:rsidRPr="00E828E8">
        <w:rPr>
          <w:color w:val="000000"/>
          <w:sz w:val="23"/>
          <w:szCs w:val="23"/>
        </w:rPr>
        <w:t>Funcionamento e divulgação de informações dos fundos de investimentos do IPREM no 1º Quadrimestre de 2017, fornecendo cópias de extratos bancários e balancetes contábeis.</w:t>
      </w:r>
    </w:p>
    <w:p w:rsidR="00E828E8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</w:p>
    <w:p w:rsidR="001D42CC" w:rsidRPr="00E828E8" w:rsidRDefault="00E828E8" w:rsidP="000E0A3C">
      <w:pPr>
        <w:ind w:firstLine="2835"/>
        <w:jc w:val="both"/>
        <w:rPr>
          <w:color w:val="000000"/>
          <w:sz w:val="23"/>
          <w:szCs w:val="23"/>
        </w:rPr>
      </w:pPr>
      <w:r w:rsidRPr="00E828E8">
        <w:rPr>
          <w:color w:val="000000"/>
          <w:sz w:val="23"/>
          <w:szCs w:val="23"/>
        </w:rPr>
        <w:t xml:space="preserve">3- </w:t>
      </w:r>
      <w:r w:rsidR="001D42CC" w:rsidRPr="00E828E8">
        <w:rPr>
          <w:color w:val="000000"/>
          <w:sz w:val="23"/>
          <w:szCs w:val="23"/>
        </w:rPr>
        <w:t>Política de Investimentos do IPREM para o exercício de 2017</w:t>
      </w:r>
      <w:r w:rsidRPr="00E828E8">
        <w:rPr>
          <w:color w:val="000000"/>
          <w:sz w:val="23"/>
          <w:szCs w:val="23"/>
        </w:rPr>
        <w:t>.</w:t>
      </w:r>
    </w:p>
    <w:p w:rsidR="001D42CC" w:rsidRPr="00E828E8" w:rsidRDefault="001D42CC" w:rsidP="001D42CC">
      <w:pPr>
        <w:ind w:firstLine="2835"/>
        <w:rPr>
          <w:color w:val="000000"/>
          <w:sz w:val="23"/>
          <w:szCs w:val="23"/>
        </w:rPr>
      </w:pPr>
    </w:p>
    <w:p w:rsidR="001D42CC" w:rsidRPr="00E828E8" w:rsidRDefault="001D42CC" w:rsidP="001D42CC">
      <w:pPr>
        <w:ind w:right="1134" w:firstLine="2835"/>
        <w:jc w:val="both"/>
        <w:rPr>
          <w:b/>
          <w:sz w:val="23"/>
          <w:szCs w:val="23"/>
        </w:rPr>
      </w:pPr>
      <w:r w:rsidRPr="00E828E8">
        <w:rPr>
          <w:b/>
          <w:sz w:val="23"/>
          <w:szCs w:val="23"/>
        </w:rPr>
        <w:t>JUSTIFICATIVA</w:t>
      </w:r>
    </w:p>
    <w:p w:rsidR="001D42CC" w:rsidRPr="00E828E8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3"/>
          <w:szCs w:val="23"/>
        </w:rPr>
      </w:pPr>
    </w:p>
    <w:p w:rsidR="001D42CC" w:rsidRPr="00E828E8" w:rsidRDefault="001D42CC" w:rsidP="00E82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3"/>
          <w:szCs w:val="23"/>
        </w:rPr>
      </w:pPr>
      <w:r w:rsidRPr="00E828E8">
        <w:rPr>
          <w:sz w:val="23"/>
          <w:szCs w:val="23"/>
        </w:rPr>
        <w:t xml:space="preserve">Trata-se de requerimento com intuito de elucidar sobre as irregularidades e duvidas que ainda não </w:t>
      </w:r>
      <w:proofErr w:type="gramStart"/>
      <w:r w:rsidRPr="00E828E8">
        <w:rPr>
          <w:sz w:val="23"/>
          <w:szCs w:val="23"/>
        </w:rPr>
        <w:t>foram</w:t>
      </w:r>
      <w:proofErr w:type="gramEnd"/>
      <w:r w:rsidRPr="00E828E8">
        <w:rPr>
          <w:sz w:val="23"/>
          <w:szCs w:val="23"/>
        </w:rPr>
        <w:t xml:space="preserve"> esclarecidas, referente aos movimentos financeiros da Instituição.</w:t>
      </w:r>
    </w:p>
    <w:p w:rsidR="001D42CC" w:rsidRPr="00E828E8" w:rsidRDefault="001D42CC" w:rsidP="001D42CC">
      <w:pPr>
        <w:spacing w:line="280" w:lineRule="auto"/>
        <w:ind w:right="567" w:firstLine="2835"/>
        <w:rPr>
          <w:color w:val="000000"/>
          <w:sz w:val="23"/>
          <w:szCs w:val="23"/>
        </w:rPr>
      </w:pPr>
    </w:p>
    <w:p w:rsidR="001D42CC" w:rsidRDefault="001D42CC" w:rsidP="001D42CC">
      <w:pPr>
        <w:ind w:firstLine="2835"/>
        <w:rPr>
          <w:color w:val="000000"/>
        </w:rPr>
      </w:pPr>
      <w:r w:rsidRPr="00E828E8">
        <w:rPr>
          <w:color w:val="000000"/>
          <w:sz w:val="23"/>
          <w:szCs w:val="23"/>
        </w:rPr>
        <w:t xml:space="preserve">Sala das Sessões, </w:t>
      </w:r>
      <w:proofErr w:type="gramStart"/>
      <w:r w:rsidRPr="00E828E8">
        <w:rPr>
          <w:color w:val="000000"/>
          <w:sz w:val="23"/>
          <w:szCs w:val="23"/>
        </w:rPr>
        <w:t>6</w:t>
      </w:r>
      <w:proofErr w:type="gramEnd"/>
      <w:r w:rsidRPr="00E828E8">
        <w:rPr>
          <w:color w:val="000000"/>
          <w:sz w:val="23"/>
          <w:szCs w:val="23"/>
        </w:rPr>
        <w:t xml:space="preserve"> de Junho de 2017.</w:t>
      </w: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Default="001D42CC" w:rsidP="001D42CC">
      <w:pPr>
        <w:spacing w:line="280" w:lineRule="auto"/>
        <w:ind w:left="3969"/>
        <w:rPr>
          <w:color w:val="000000"/>
        </w:rPr>
      </w:pPr>
    </w:p>
    <w:p w:rsidR="00E828E8" w:rsidRPr="000E0A3C" w:rsidRDefault="00E828E8" w:rsidP="001D42CC">
      <w:pPr>
        <w:spacing w:line="280" w:lineRule="auto"/>
        <w:ind w:left="3969"/>
        <w:rPr>
          <w:color w:val="00000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0E0A3C">
        <w:trPr>
          <w:trHeight w:val="297"/>
          <w:jc w:val="center"/>
        </w:trPr>
        <w:tc>
          <w:tcPr>
            <w:tcW w:w="8591" w:type="dxa"/>
            <w:hideMark/>
          </w:tcPr>
          <w:p w:rsidR="001D42CC" w:rsidRPr="00E828E8" w:rsidRDefault="001D42CC" w:rsidP="00E828E8">
            <w:pPr>
              <w:jc w:val="center"/>
              <w:rPr>
                <w:color w:val="000000"/>
                <w:sz w:val="23"/>
                <w:szCs w:val="23"/>
              </w:rPr>
            </w:pPr>
            <w:r w:rsidRPr="00E828E8">
              <w:rPr>
                <w:color w:val="000000"/>
                <w:sz w:val="22"/>
                <w:szCs w:val="22"/>
              </w:rPr>
              <w:t xml:space="preserve"> </w:t>
            </w:r>
            <w:r w:rsidR="00E828E8" w:rsidRPr="00E828E8">
              <w:rPr>
                <w:color w:val="000000"/>
                <w:sz w:val="23"/>
                <w:szCs w:val="23"/>
              </w:rPr>
              <w:t>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E828E8" w:rsidRDefault="001D42CC" w:rsidP="00E828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828E8">
              <w:rPr>
                <w:color w:val="000000"/>
                <w:sz w:val="21"/>
                <w:szCs w:val="21"/>
              </w:rPr>
              <w:t xml:space="preserve">Presidente da Comissão de </w:t>
            </w:r>
          </w:p>
          <w:p w:rsidR="001D42CC" w:rsidRPr="000E0A3C" w:rsidRDefault="00E828E8" w:rsidP="00E828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Administração Financeira e Orçamentária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E828E8" w:rsidRDefault="00E828E8" w:rsidP="001D42CC">
      <w:pPr>
        <w:ind w:left="3969"/>
        <w:rPr>
          <w:rFonts w:ascii="Arial" w:hAnsi="Arial" w:cs="Arial"/>
          <w:color w:val="000000"/>
          <w:sz w:val="20"/>
        </w:rPr>
      </w:pPr>
    </w:p>
    <w:p w:rsidR="00E828E8" w:rsidRDefault="00E828E8" w:rsidP="001D42CC">
      <w:pPr>
        <w:ind w:left="3969"/>
        <w:rPr>
          <w:rFonts w:ascii="Arial" w:hAnsi="Arial" w:cs="Arial"/>
          <w:color w:val="000000"/>
          <w:sz w:val="20"/>
        </w:rPr>
      </w:pPr>
    </w:p>
    <w:p w:rsidR="00E828E8" w:rsidRDefault="00E828E8" w:rsidP="001D42CC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828E8" w:rsidTr="00E828E8">
        <w:tc>
          <w:tcPr>
            <w:tcW w:w="4322" w:type="dxa"/>
          </w:tcPr>
          <w:p w:rsidR="00E828E8" w:rsidRPr="00E828E8" w:rsidRDefault="00E828E8" w:rsidP="00E828E8">
            <w:pPr>
              <w:jc w:val="center"/>
              <w:rPr>
                <w:sz w:val="23"/>
                <w:szCs w:val="23"/>
              </w:rPr>
            </w:pPr>
            <w:r w:rsidRPr="00E828E8">
              <w:rPr>
                <w:sz w:val="23"/>
                <w:szCs w:val="23"/>
              </w:rPr>
              <w:t>Leandro Morais</w:t>
            </w:r>
          </w:p>
        </w:tc>
        <w:tc>
          <w:tcPr>
            <w:tcW w:w="4322" w:type="dxa"/>
          </w:tcPr>
          <w:p w:rsidR="00E828E8" w:rsidRPr="00E828E8" w:rsidRDefault="00E828E8" w:rsidP="00E828E8">
            <w:pPr>
              <w:jc w:val="center"/>
              <w:rPr>
                <w:sz w:val="23"/>
                <w:szCs w:val="23"/>
              </w:rPr>
            </w:pPr>
            <w:r w:rsidRPr="00E828E8">
              <w:rPr>
                <w:sz w:val="23"/>
                <w:szCs w:val="23"/>
              </w:rPr>
              <w:t>Dito Barbosa</w:t>
            </w:r>
          </w:p>
        </w:tc>
      </w:tr>
      <w:tr w:rsidR="00E828E8" w:rsidTr="00E828E8">
        <w:tc>
          <w:tcPr>
            <w:tcW w:w="4322" w:type="dxa"/>
          </w:tcPr>
          <w:p w:rsidR="00E828E8" w:rsidRDefault="00E828E8" w:rsidP="00E828E8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Relator </w:t>
            </w:r>
            <w:r>
              <w:rPr>
                <w:color w:val="000000"/>
                <w:sz w:val="21"/>
                <w:szCs w:val="21"/>
              </w:rPr>
              <w:t>da Comissão de</w:t>
            </w:r>
          </w:p>
          <w:p w:rsidR="00E828E8" w:rsidRDefault="00E828E8" w:rsidP="00E828E8">
            <w:pPr>
              <w:jc w:val="center"/>
            </w:pPr>
            <w:r>
              <w:rPr>
                <w:color w:val="000000"/>
                <w:sz w:val="21"/>
                <w:szCs w:val="21"/>
              </w:rPr>
              <w:t>Administração Financeira e Orçamentária</w:t>
            </w:r>
          </w:p>
        </w:tc>
        <w:tc>
          <w:tcPr>
            <w:tcW w:w="4322" w:type="dxa"/>
          </w:tcPr>
          <w:p w:rsidR="00E828E8" w:rsidRDefault="00E828E8" w:rsidP="00E828E8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Secretário </w:t>
            </w:r>
            <w:r>
              <w:rPr>
                <w:color w:val="000000"/>
                <w:sz w:val="21"/>
                <w:szCs w:val="21"/>
              </w:rPr>
              <w:t>da Comissão de</w:t>
            </w:r>
          </w:p>
          <w:p w:rsidR="00E828E8" w:rsidRDefault="00E828E8" w:rsidP="00E828E8">
            <w:pPr>
              <w:jc w:val="center"/>
            </w:pPr>
            <w:r>
              <w:rPr>
                <w:color w:val="000000"/>
                <w:sz w:val="21"/>
                <w:szCs w:val="21"/>
              </w:rPr>
              <w:t>Administração Financeira e Orçamentária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74E8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28E8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28E8"/>
    <w:pPr>
      <w:ind w:left="720"/>
      <w:contextualSpacing/>
    </w:pPr>
  </w:style>
  <w:style w:type="table" w:styleId="Tabelacomgrade">
    <w:name w:val="Table Grid"/>
    <w:basedOn w:val="Tabelanormal"/>
    <w:uiPriority w:val="59"/>
    <w:rsid w:val="00E8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2017-06-06T18:27:00Z</dcterms:created>
  <dcterms:modified xsi:type="dcterms:W3CDTF">2017-06-06T18:27:00Z</dcterms:modified>
</cp:coreProperties>
</file>