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Default="007A1E81">
      <w:pPr>
        <w:spacing w:after="115"/>
        <w:ind w:left="159" w:hanging="10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Excelentíssimo Senhor Presidente da Câmara Municipal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de Pouso Alegre – MG. </w:t>
      </w:r>
    </w:p>
    <w:p w:rsidR="00974AA2" w:rsidRDefault="007A1E81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AA2" w:rsidRDefault="007A1E81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AA2" w:rsidRDefault="000E739D">
      <w:pPr>
        <w:spacing w:after="112"/>
        <w:ind w:right="6"/>
        <w:jc w:val="right"/>
      </w:pPr>
      <w:r>
        <w:rPr>
          <w:rFonts w:ascii="Times New Roman" w:eastAsia="Times New Roman" w:hAnsi="Times New Roman" w:cs="Times New Roman"/>
          <w:b/>
          <w:sz w:val="24"/>
        </w:rPr>
        <w:t>Pouso Alegre, 2</w:t>
      </w:r>
      <w:r w:rsidR="00E34A20">
        <w:rPr>
          <w:rFonts w:ascii="Times New Roman" w:eastAsia="Times New Roman" w:hAnsi="Times New Roman" w:cs="Times New Roman"/>
          <w:b/>
          <w:sz w:val="24"/>
        </w:rPr>
        <w:t>4 de abril de 2023</w:t>
      </w:r>
      <w:r w:rsidR="007A1E81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974AA2" w:rsidRDefault="007A1E81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AA2" w:rsidRDefault="007A1E81">
      <w:pPr>
        <w:spacing w:after="112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AA2" w:rsidRDefault="007A1E81">
      <w:pPr>
        <w:spacing w:after="11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PARECER JURÍDICO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74AA2" w:rsidRDefault="007A1E81">
      <w:pPr>
        <w:spacing w:after="3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pStyle w:val="Ttulo1"/>
        <w:ind w:left="-5"/>
      </w:pPr>
      <w:r>
        <w:t xml:space="preserve">Autoria – Poder Legislativo </w:t>
      </w:r>
    </w:p>
    <w:p w:rsidR="00974AA2" w:rsidRDefault="007A1E81">
      <w:pPr>
        <w:spacing w:after="30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4AA2" w:rsidRPr="006B4684" w:rsidRDefault="007A1E81" w:rsidP="006B4684">
      <w:pPr>
        <w:spacing w:after="3" w:line="358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B4684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Nos termos do artigo 79 do Regimento Interno desta Casa de Leis, passamos a analisar os aspectos legais do </w:t>
      </w:r>
      <w:r w:rsidR="000E739D">
        <w:rPr>
          <w:rFonts w:ascii="Times New Roman" w:eastAsia="Times New Roman" w:hAnsi="Times New Roman" w:cs="Times New Roman"/>
          <w:b/>
          <w:sz w:val="24"/>
        </w:rPr>
        <w:t>Projeto de Lei n° 7.849</w:t>
      </w:r>
      <w:r w:rsidR="00E34A20">
        <w:rPr>
          <w:rFonts w:ascii="Times New Roman" w:eastAsia="Times New Roman" w:hAnsi="Times New Roman" w:cs="Times New Roman"/>
          <w:b/>
          <w:sz w:val="24"/>
        </w:rPr>
        <w:t>/2023</w:t>
      </w:r>
      <w:r>
        <w:rPr>
          <w:rFonts w:ascii="Times New Roman" w:eastAsia="Times New Roman" w:hAnsi="Times New Roman" w:cs="Times New Roman"/>
          <w:sz w:val="24"/>
        </w:rPr>
        <w:t xml:space="preserve">, de </w:t>
      </w:r>
      <w:r w:rsidR="004950D4">
        <w:rPr>
          <w:rFonts w:ascii="Times New Roman" w:eastAsia="Times New Roman" w:hAnsi="Times New Roman" w:cs="Times New Roman"/>
          <w:b/>
          <w:sz w:val="24"/>
        </w:rPr>
        <w:t>autoria do Vereador</w:t>
      </w:r>
      <w:bookmarkStart w:id="0" w:name="_GoBack"/>
      <w:bookmarkEnd w:id="0"/>
      <w:r w:rsidR="000E739D">
        <w:rPr>
          <w:rFonts w:ascii="Times New Roman" w:eastAsia="Times New Roman" w:hAnsi="Times New Roman" w:cs="Times New Roman"/>
          <w:b/>
          <w:sz w:val="24"/>
        </w:rPr>
        <w:t xml:space="preserve"> Igor Tavares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que </w:t>
      </w:r>
      <w:r>
        <w:rPr>
          <w:rFonts w:ascii="Times New Roman" w:eastAsia="Times New Roman" w:hAnsi="Times New Roman" w:cs="Times New Roman"/>
          <w:b/>
          <w:sz w:val="24"/>
        </w:rPr>
        <w:t>“</w:t>
      </w:r>
      <w:r w:rsidR="000E739D" w:rsidRPr="000E739D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E739D" w:rsidRPr="000E739D">
        <w:rPr>
          <w:rFonts w:ascii="Times New Roman" w:hAnsi="Times New Roman" w:cs="Times New Roman"/>
          <w:b/>
          <w:sz w:val="24"/>
          <w:szCs w:val="24"/>
        </w:rPr>
        <w:t>NSTITUI A “SEMANA MUNICIPAL DO</w:t>
      </w:r>
      <w:r w:rsidR="000E739D" w:rsidRPr="000E739D">
        <w:rPr>
          <w:rFonts w:ascii="Times New Roman" w:hAnsi="Times New Roman" w:cs="Times New Roman"/>
          <w:b/>
          <w:sz w:val="24"/>
          <w:szCs w:val="24"/>
        </w:rPr>
        <w:br/>
        <w:t>BRINCAR” NO MUNICÍPIO DE POUSO</w:t>
      </w:r>
      <w:r w:rsidR="000E7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39D" w:rsidRPr="000E739D">
        <w:rPr>
          <w:rFonts w:ascii="Times New Roman" w:hAnsi="Times New Roman" w:cs="Times New Roman"/>
          <w:b/>
          <w:sz w:val="24"/>
          <w:szCs w:val="24"/>
        </w:rPr>
        <w:t>ALEGRE E DÁ OUTRAS PROVIDÊNCIAS.</w:t>
      </w:r>
    </w:p>
    <w:p w:rsidR="00974AA2" w:rsidRPr="000E739D" w:rsidRDefault="007A1E81">
      <w:pPr>
        <w:spacing w:after="1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34A20" w:rsidRPr="000E739D" w:rsidRDefault="007A1E81" w:rsidP="000E739D">
      <w:pPr>
        <w:spacing w:after="3" w:line="35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4684" w:rsidRPr="000E739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O Projeto de Lei em análise, em seu </w:t>
      </w:r>
      <w:r w:rsidRPr="000E739D">
        <w:rPr>
          <w:rFonts w:ascii="Times New Roman" w:eastAsia="Times New Roman" w:hAnsi="Times New Roman" w:cs="Times New Roman"/>
          <w:b/>
          <w:i/>
          <w:sz w:val="24"/>
          <w:szCs w:val="24"/>
        </w:rPr>
        <w:t>artigo primeiro (1º)</w:t>
      </w: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, dispõe que </w:t>
      </w:r>
      <w:r w:rsidR="006B4684" w:rsidRPr="000E739D">
        <w:rPr>
          <w:rFonts w:ascii="Times New Roman" w:eastAsia="Times New Roman" w:hAnsi="Times New Roman" w:cs="Times New Roman"/>
          <w:sz w:val="24"/>
          <w:szCs w:val="24"/>
        </w:rPr>
        <w:t xml:space="preserve">fica instituído </w:t>
      </w:r>
      <w:r w:rsidR="000E739D" w:rsidRPr="000E739D">
        <w:rPr>
          <w:rFonts w:ascii="Times New Roman" w:hAnsi="Times New Roman" w:cs="Times New Roman"/>
          <w:sz w:val="24"/>
          <w:szCs w:val="24"/>
        </w:rPr>
        <w:t xml:space="preserve">no Calendário Oficial do Município de Pouso Alegre/MG, a “Semana Municipal do Brincar” a ser comemorada, anualmente, na última semana do mês de maio, integrando </w:t>
      </w:r>
      <w:proofErr w:type="gramStart"/>
      <w:r w:rsidR="000E739D" w:rsidRPr="000E739D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0E739D" w:rsidRPr="000E739D">
        <w:rPr>
          <w:rFonts w:ascii="Times New Roman" w:hAnsi="Times New Roman" w:cs="Times New Roman"/>
          <w:sz w:val="24"/>
          <w:szCs w:val="24"/>
        </w:rPr>
        <w:t xml:space="preserve"> comemorações do “Dia Mundial do Brincar”, que acontece no dia 28 de maio.</w:t>
      </w:r>
    </w:p>
    <w:p w:rsidR="00E34A20" w:rsidRPr="000E739D" w:rsidRDefault="00E34A20" w:rsidP="00E34A20">
      <w:pPr>
        <w:spacing w:after="3" w:line="35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39D" w:rsidRPr="000E739D" w:rsidRDefault="007A1E81" w:rsidP="000E739D">
      <w:pPr>
        <w:spacing w:after="3" w:line="358" w:lineRule="auto"/>
        <w:ind w:left="-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E739D">
        <w:rPr>
          <w:rFonts w:ascii="Times New Roman" w:eastAsia="Times New Roman" w:hAnsi="Times New Roman" w:cs="Times New Roman"/>
          <w:b/>
          <w:i/>
          <w:sz w:val="24"/>
          <w:szCs w:val="24"/>
        </w:rPr>
        <w:t>artigo segundo (2º)</w:t>
      </w: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 aduz q</w:t>
      </w:r>
      <w:r w:rsidR="00E34A20" w:rsidRPr="000E739D">
        <w:rPr>
          <w:rFonts w:ascii="Times New Roman" w:eastAsia="Times New Roman" w:hAnsi="Times New Roman" w:cs="Times New Roman"/>
          <w:sz w:val="24"/>
          <w:szCs w:val="24"/>
        </w:rPr>
        <w:t xml:space="preserve">ue guardadas </w:t>
      </w:r>
      <w:r w:rsidR="00E34A20" w:rsidRPr="000E739D">
        <w:rPr>
          <w:rFonts w:ascii="Times New Roman" w:hAnsi="Times New Roman" w:cs="Times New Roman"/>
          <w:sz w:val="24"/>
          <w:szCs w:val="24"/>
        </w:rPr>
        <w:t>a</w:t>
      </w:r>
      <w:r w:rsidR="000E739D" w:rsidRPr="000E739D">
        <w:rPr>
          <w:rFonts w:ascii="Times New Roman" w:hAnsi="Times New Roman" w:cs="Times New Roman"/>
          <w:sz w:val="24"/>
          <w:szCs w:val="24"/>
        </w:rPr>
        <w:t xml:space="preserve"> “Semana Municipal do Brincar” tem por objetivo:</w:t>
      </w:r>
    </w:p>
    <w:p w:rsidR="00974AA2" w:rsidRPr="000E739D" w:rsidRDefault="000E739D" w:rsidP="000E739D">
      <w:pPr>
        <w:spacing w:after="3" w:line="35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39D">
        <w:rPr>
          <w:rFonts w:ascii="Times New Roman" w:hAnsi="Times New Roman" w:cs="Times New Roman"/>
          <w:sz w:val="24"/>
          <w:szCs w:val="24"/>
        </w:rPr>
        <w:t>I - a valorização do brincar na vida das crianças;</w:t>
      </w:r>
      <w:r w:rsidRPr="000E739D">
        <w:rPr>
          <w:rFonts w:ascii="Times New Roman" w:hAnsi="Times New Roman" w:cs="Times New Roman"/>
          <w:sz w:val="24"/>
          <w:szCs w:val="24"/>
        </w:rPr>
        <w:br/>
        <w:t>II - o reconhecimento da ludicidade como componente da cultura e da infância;</w:t>
      </w:r>
      <w:r w:rsidRPr="000E739D">
        <w:rPr>
          <w:rFonts w:ascii="Times New Roman" w:hAnsi="Times New Roman" w:cs="Times New Roman"/>
          <w:sz w:val="24"/>
          <w:szCs w:val="24"/>
        </w:rPr>
        <w:br/>
        <w:t>III - o resgate de brincadeiras tradicionais como forma de preservação a recriação do patrimônio lúdico da sociedade;</w:t>
      </w:r>
      <w:r w:rsidRPr="000E739D">
        <w:rPr>
          <w:rFonts w:ascii="Times New Roman" w:hAnsi="Times New Roman" w:cs="Times New Roman"/>
          <w:sz w:val="24"/>
          <w:szCs w:val="24"/>
        </w:rPr>
        <w:br/>
        <w:t xml:space="preserve">IV - o encontro intercultural e </w:t>
      </w:r>
      <w:proofErr w:type="spellStart"/>
      <w:r w:rsidRPr="000E739D">
        <w:rPr>
          <w:rFonts w:ascii="Times New Roman" w:hAnsi="Times New Roman" w:cs="Times New Roman"/>
          <w:sz w:val="24"/>
          <w:szCs w:val="24"/>
        </w:rPr>
        <w:t>intergeracional</w:t>
      </w:r>
      <w:proofErr w:type="spellEnd"/>
      <w:r w:rsidRPr="000E739D">
        <w:rPr>
          <w:rFonts w:ascii="Times New Roman" w:hAnsi="Times New Roman" w:cs="Times New Roman"/>
          <w:sz w:val="24"/>
          <w:szCs w:val="24"/>
        </w:rPr>
        <w:t xml:space="preserve"> em torno das brincadeiras;</w:t>
      </w:r>
      <w:r w:rsidRPr="000E739D">
        <w:rPr>
          <w:rFonts w:ascii="Times New Roman" w:hAnsi="Times New Roman" w:cs="Times New Roman"/>
          <w:sz w:val="24"/>
          <w:szCs w:val="24"/>
        </w:rPr>
        <w:br/>
        <w:t>V - o cumprimento do art. 31 da Convenção sobre os Direitos da Criança das Nações Unidas, reforçando que o Brincar é um direito de toda criança; e</w:t>
      </w:r>
      <w:r w:rsidRPr="000E739D">
        <w:rPr>
          <w:rFonts w:ascii="Times New Roman" w:hAnsi="Times New Roman" w:cs="Times New Roman"/>
          <w:sz w:val="24"/>
          <w:szCs w:val="24"/>
        </w:rPr>
        <w:br/>
        <w:t>VI - o estímulo e apoio, ao reconhecimento do brincar ao longo da vida.</w:t>
      </w:r>
      <w:r w:rsidR="007A1E81" w:rsidRPr="000E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4AA2" w:rsidRPr="000E739D" w:rsidRDefault="007A1E81">
      <w:pPr>
        <w:spacing w:after="112"/>
        <w:ind w:left="708"/>
        <w:rPr>
          <w:rFonts w:ascii="Times New Roman" w:hAnsi="Times New Roman" w:cs="Times New Roman"/>
          <w:sz w:val="24"/>
          <w:szCs w:val="24"/>
        </w:rPr>
      </w:pP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39D" w:rsidRPr="000E739D" w:rsidRDefault="007A1E81">
      <w:pPr>
        <w:spacing w:after="3" w:line="358" w:lineRule="auto"/>
        <w:ind w:left="-1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39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</w:t>
      </w:r>
      <w:r w:rsidR="00E34A20" w:rsidRPr="000E739D">
        <w:rPr>
          <w:rFonts w:ascii="Times New Roman" w:eastAsia="Times New Roman" w:hAnsi="Times New Roman" w:cs="Times New Roman"/>
          <w:b/>
          <w:i/>
          <w:sz w:val="24"/>
          <w:szCs w:val="24"/>
        </w:rPr>
        <w:t>artigo terceiro (3</w:t>
      </w:r>
      <w:r w:rsidRPr="000E739D">
        <w:rPr>
          <w:rFonts w:ascii="Times New Roman" w:eastAsia="Times New Roman" w:hAnsi="Times New Roman" w:cs="Times New Roman"/>
          <w:b/>
          <w:i/>
          <w:sz w:val="24"/>
          <w:szCs w:val="24"/>
        </w:rPr>
        <w:t>º)</w:t>
      </w:r>
      <w:r w:rsidR="000E739D" w:rsidRPr="000E739D">
        <w:rPr>
          <w:rFonts w:ascii="Times New Roman" w:eastAsia="Times New Roman" w:hAnsi="Times New Roman" w:cs="Times New Roman"/>
          <w:sz w:val="24"/>
          <w:szCs w:val="24"/>
        </w:rPr>
        <w:t xml:space="preserve"> que o </w:t>
      </w:r>
      <w:r w:rsidR="000E739D" w:rsidRPr="000E739D">
        <w:rPr>
          <w:rFonts w:ascii="Times New Roman" w:hAnsi="Times New Roman" w:cs="Times New Roman"/>
          <w:sz w:val="24"/>
          <w:szCs w:val="24"/>
        </w:rPr>
        <w:t>Município de Pouso Alegre poderá organizar e coordenará as atividades da “Semana Municipal do Brincar”.</w:t>
      </w:r>
    </w:p>
    <w:p w:rsidR="000E739D" w:rsidRPr="000E739D" w:rsidRDefault="000E739D" w:rsidP="000E739D">
      <w:pPr>
        <w:spacing w:after="3" w:line="35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9D">
        <w:rPr>
          <w:rFonts w:ascii="Times New Roman" w:hAnsi="Times New Roman" w:cs="Times New Roman"/>
          <w:b/>
          <w:sz w:val="24"/>
          <w:szCs w:val="24"/>
        </w:rPr>
        <w:t>§ 1º</w:t>
      </w:r>
      <w:r w:rsidRPr="000E739D">
        <w:rPr>
          <w:rFonts w:ascii="Times New Roman" w:hAnsi="Times New Roman" w:cs="Times New Roman"/>
          <w:sz w:val="24"/>
          <w:szCs w:val="24"/>
        </w:rPr>
        <w:t xml:space="preserve"> As atividades alusivas à “Semana Municipal do Brincar” deverão ocorrer em escolas de educação infantil, ensino fundamental e EJA, bem como em espaços públicos como praças e parques arborizados, entendendo a importância de promover o contato com a natureza, o combate ao sedentarismo e uma relação saudável com a cidade.</w:t>
      </w:r>
    </w:p>
    <w:p w:rsidR="00974AA2" w:rsidRPr="000E739D" w:rsidRDefault="000E739D" w:rsidP="000E739D">
      <w:pPr>
        <w:spacing w:after="3" w:line="35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39D">
        <w:rPr>
          <w:rFonts w:ascii="Times New Roman" w:hAnsi="Times New Roman" w:cs="Times New Roman"/>
          <w:b/>
          <w:sz w:val="24"/>
          <w:szCs w:val="24"/>
        </w:rPr>
        <w:t>§ 2º</w:t>
      </w:r>
      <w:r w:rsidRPr="000E739D">
        <w:rPr>
          <w:rFonts w:ascii="Times New Roman" w:hAnsi="Times New Roman" w:cs="Times New Roman"/>
          <w:sz w:val="24"/>
          <w:szCs w:val="24"/>
        </w:rPr>
        <w:t xml:space="preserve"> A “Semana Municipal do Brincar” poderá ser promovida por meios impressos, eletrônicos e digitais que informem sobre o significado do brincar para a vivência da infância e para o desenvolvimento das crianças, disseminando a ideia e o reconhecimento que o brincar desenvolve vínculos saudáveis e seguros que se ampliam ao longo da vida, bem como o convívio e interações importantes entre todas as idades.</w:t>
      </w:r>
      <w:r w:rsidR="007A1E81" w:rsidRPr="000E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39D" w:rsidRPr="000E739D" w:rsidRDefault="000E739D" w:rsidP="000E739D">
      <w:pPr>
        <w:spacing w:after="3" w:line="35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39D" w:rsidRPr="000E739D" w:rsidRDefault="007A1E81" w:rsidP="000E739D">
      <w:pPr>
        <w:spacing w:after="112"/>
        <w:ind w:left="708"/>
        <w:rPr>
          <w:rFonts w:ascii="Times New Roman" w:hAnsi="Times New Roman" w:cs="Times New Roman"/>
          <w:sz w:val="24"/>
          <w:szCs w:val="24"/>
        </w:rPr>
      </w:pP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34A20" w:rsidRPr="000E739D">
        <w:rPr>
          <w:rFonts w:ascii="Times New Roman" w:eastAsia="Times New Roman" w:hAnsi="Times New Roman" w:cs="Times New Roman"/>
          <w:b/>
          <w:i/>
          <w:sz w:val="24"/>
          <w:szCs w:val="24"/>
        </w:rPr>
        <w:t>artigo quarto (4</w:t>
      </w:r>
      <w:r w:rsidRPr="000E739D">
        <w:rPr>
          <w:rFonts w:ascii="Times New Roman" w:eastAsia="Times New Roman" w:hAnsi="Times New Roman" w:cs="Times New Roman"/>
          <w:b/>
          <w:i/>
          <w:sz w:val="24"/>
          <w:szCs w:val="24"/>
        </w:rPr>
        <w:t>º)</w:t>
      </w: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0E739D" w:rsidRPr="000E739D">
        <w:rPr>
          <w:rFonts w:ascii="Times New Roman" w:eastAsia="Times New Roman" w:hAnsi="Times New Roman" w:cs="Times New Roman"/>
          <w:sz w:val="24"/>
          <w:szCs w:val="24"/>
        </w:rPr>
        <w:t>esta lei será regulamentada pelo Poder Executivo, no que couber.</w:t>
      </w:r>
    </w:p>
    <w:p w:rsidR="000E739D" w:rsidRPr="000E739D" w:rsidRDefault="000E739D">
      <w:pPr>
        <w:spacing w:after="3"/>
        <w:ind w:left="71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39D" w:rsidRPr="000E739D" w:rsidRDefault="000E739D">
      <w:pPr>
        <w:spacing w:after="3"/>
        <w:ind w:left="71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4AA2" w:rsidRPr="000E739D" w:rsidRDefault="000E739D">
      <w:pPr>
        <w:spacing w:after="3"/>
        <w:ind w:left="718" w:hanging="10"/>
        <w:jc w:val="both"/>
        <w:rPr>
          <w:rFonts w:ascii="Times New Roman" w:hAnsi="Times New Roman" w:cs="Times New Roman"/>
          <w:sz w:val="24"/>
          <w:szCs w:val="24"/>
        </w:rPr>
      </w:pP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0E739D">
        <w:rPr>
          <w:rFonts w:ascii="Times New Roman" w:eastAsia="Times New Roman" w:hAnsi="Times New Roman" w:cs="Times New Roman"/>
          <w:b/>
          <w:i/>
          <w:sz w:val="24"/>
          <w:szCs w:val="24"/>
        </w:rPr>
        <w:t>artigo quinto (5º)</w:t>
      </w:r>
      <w:r w:rsidRPr="000E73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E81" w:rsidRPr="000E739D">
        <w:rPr>
          <w:rFonts w:ascii="Times New Roman" w:eastAsia="Times New Roman" w:hAnsi="Times New Roman" w:cs="Times New Roman"/>
          <w:sz w:val="24"/>
          <w:szCs w:val="24"/>
        </w:rPr>
        <w:t xml:space="preserve">esta lei entrará em vigor na data de sua publicação. </w:t>
      </w:r>
    </w:p>
    <w:p w:rsidR="00974AA2" w:rsidRDefault="007A1E81" w:rsidP="006B4684">
      <w:pPr>
        <w:spacing w:after="3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pStyle w:val="Ttulo1"/>
        <w:ind w:left="-5"/>
      </w:pPr>
      <w:r>
        <w:t xml:space="preserve">            FORMA </w:t>
      </w:r>
    </w:p>
    <w:p w:rsidR="00974AA2" w:rsidRDefault="007A1E81">
      <w:pPr>
        <w:spacing w:after="195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B4684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974AA2" w:rsidRDefault="007A1E81">
      <w:pPr>
        <w:spacing w:after="127" w:line="267" w:lineRule="auto"/>
        <w:ind w:left="226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Art. 30. Compete aos Municípios: I - legislar sobre assuntos de interesse local; (...) IX - promover a proteção do patrimônio histórico-cultural local, observada a legislação e a ação fiscalizadora federal e estadual. </w:t>
      </w:r>
    </w:p>
    <w:p w:rsidR="00974AA2" w:rsidRDefault="007A1E81">
      <w:pPr>
        <w:spacing w:after="339"/>
        <w:ind w:left="2269"/>
      </w:pPr>
      <w:r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p w:rsidR="00974AA2" w:rsidRDefault="007A1E81">
      <w:pPr>
        <w:pStyle w:val="Ttulo1"/>
        <w:ind w:left="-5"/>
      </w:pPr>
      <w:r>
        <w:t xml:space="preserve">            INICIATIVA </w:t>
      </w:r>
    </w:p>
    <w:p w:rsidR="00974AA2" w:rsidRDefault="007A1E81">
      <w:pPr>
        <w:tabs>
          <w:tab w:val="right" w:pos="8509"/>
        </w:tabs>
        <w:spacing w:after="121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A iniciativa por parte do vereador encontra-se conforme o artigo 39, I, c/</w:t>
      </w:r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artigo </w:t>
      </w:r>
    </w:p>
    <w:p w:rsidR="00974AA2" w:rsidRDefault="007A1E81">
      <w:pPr>
        <w:spacing w:after="198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44 da Lei Orgânica do Município, adequada ao artigo 54, I, do Regimento Interno da Câmara Municipal, sendo a matéria em análise de competência municipal e de iniciativa não privativa do Prefeito.   </w:t>
      </w:r>
    </w:p>
    <w:p w:rsidR="00974AA2" w:rsidRDefault="007A1E81">
      <w:pPr>
        <w:tabs>
          <w:tab w:val="center" w:pos="2609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Assim prevê a Lei Orgânica Municipal: </w:t>
      </w:r>
    </w:p>
    <w:p w:rsidR="00974AA2" w:rsidRDefault="007A1E8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spacing w:after="198" w:line="239" w:lineRule="auto"/>
        <w:ind w:left="2127" w:right="5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Art. 39 – Compete à Câmara, fundamentalmente: I - legislar, com a sanção do prefeito, sobre todas as matérias de competência do Município; </w:t>
      </w:r>
    </w:p>
    <w:p w:rsidR="00974AA2" w:rsidRDefault="007A1E81">
      <w:pPr>
        <w:spacing w:after="212" w:line="237" w:lineRule="auto"/>
        <w:ind w:left="2112" w:right="-12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Art. 171.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Lei municipal disporá sobre a fixação de datas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comemorativas de fatos relevantes para a cultura do Município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grifo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nosso) </w:t>
      </w:r>
    </w:p>
    <w:p w:rsidR="00974AA2" w:rsidRDefault="007A1E81">
      <w:pPr>
        <w:spacing w:after="0"/>
        <w:ind w:left="2127"/>
      </w:pPr>
      <w:r>
        <w:rPr>
          <w:rFonts w:ascii="Arial" w:eastAsia="Arial" w:hAnsi="Arial" w:cs="Arial"/>
          <w:color w:val="232323"/>
          <w:sz w:val="25"/>
        </w:rPr>
        <w:t xml:space="preserve"> </w:t>
      </w:r>
    </w:p>
    <w:p w:rsidR="00974AA2" w:rsidRDefault="007A1E81">
      <w:pPr>
        <w:spacing w:after="201" w:line="35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Corroborando acerca das competências municipais, os ensinamentos do mestre </w:t>
      </w:r>
      <w:r>
        <w:rPr>
          <w:rFonts w:ascii="Times New Roman" w:eastAsia="Times New Roman" w:hAnsi="Times New Roman" w:cs="Times New Roman"/>
          <w:b/>
          <w:sz w:val="24"/>
        </w:rPr>
        <w:t>Nelson Nery Costa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in</w:t>
      </w:r>
      <w:r>
        <w:rPr>
          <w:rFonts w:ascii="Times New Roman" w:eastAsia="Times New Roman" w:hAnsi="Times New Roman" w:cs="Times New Roman"/>
          <w:sz w:val="24"/>
        </w:rPr>
        <w:t xml:space="preserve"> Direito Municipal Brasileiro, 8ª edição, GZ Editora, p. 177: </w:t>
      </w:r>
    </w:p>
    <w:p w:rsidR="00974AA2" w:rsidRDefault="007A1E81" w:rsidP="006B4684">
      <w:pPr>
        <w:spacing w:after="199" w:line="275" w:lineRule="auto"/>
        <w:ind w:left="2127" w:right="2"/>
        <w:jc w:val="both"/>
      </w:pPr>
      <w:r>
        <w:rPr>
          <w:rFonts w:ascii="Times New Roman" w:eastAsia="Times New Roman" w:hAnsi="Times New Roman" w:cs="Times New Roman"/>
          <w:i/>
          <w:color w:val="232323"/>
          <w:sz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232323"/>
          <w:sz w:val="24"/>
        </w:rPr>
        <w:t>Competem, ainda, à Câmara Municipal diversas outras matérias, naquilo que seja classificado como interesse local</w:t>
      </w:r>
      <w:r>
        <w:rPr>
          <w:rFonts w:ascii="Times New Roman" w:eastAsia="Times New Roman" w:hAnsi="Times New Roman" w:cs="Times New Roman"/>
          <w:i/>
          <w:color w:val="232323"/>
          <w:sz w:val="24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legislar sobre os serviços de transporte coletivo urbano e </w:t>
      </w:r>
      <w:proofErr w:type="spellStart"/>
      <w:r>
        <w:rPr>
          <w:rFonts w:ascii="Times New Roman" w:eastAsia="Times New Roman" w:hAnsi="Times New Roman" w:cs="Times New Roman"/>
          <w:i/>
          <w:color w:val="232323"/>
          <w:sz w:val="24"/>
        </w:rPr>
        <w:t>intramunicipal</w:t>
      </w:r>
      <w:proofErr w:type="spellEnd"/>
      <w:r>
        <w:rPr>
          <w:rFonts w:ascii="Times New Roman" w:eastAsia="Times New Roman" w:hAnsi="Times New Roman" w:cs="Times New Roman"/>
          <w:i/>
          <w:color w:val="232323"/>
          <w:sz w:val="24"/>
        </w:rPr>
        <w:t xml:space="preserve">, abastecimento de água e esgotos sanitários; mercados, feiras e matadouros locais; cemitérios e serviços funerários; iluminação, limpeza pública, dentre outras competências. ” </w:t>
      </w:r>
      <w:r>
        <w:rPr>
          <w:rFonts w:ascii="Times New Roman" w:eastAsia="Times New Roman" w:hAnsi="Times New Roman" w:cs="Times New Roman"/>
          <w:color w:val="232323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232323"/>
          <w:sz w:val="24"/>
        </w:rPr>
        <w:t>grifo</w:t>
      </w:r>
      <w:proofErr w:type="gramEnd"/>
      <w:r>
        <w:rPr>
          <w:rFonts w:ascii="Times New Roman" w:eastAsia="Times New Roman" w:hAnsi="Times New Roman" w:cs="Times New Roman"/>
          <w:color w:val="232323"/>
          <w:sz w:val="24"/>
        </w:rPr>
        <w:t xml:space="preserve"> nosso) </w:t>
      </w:r>
    </w:p>
    <w:p w:rsidR="00974AA2" w:rsidRDefault="007A1E81">
      <w:pPr>
        <w:spacing w:after="176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Por interesse local entende-se: </w:t>
      </w:r>
    </w:p>
    <w:p w:rsidR="00974AA2" w:rsidRDefault="007A1E81">
      <w:pPr>
        <w:spacing w:after="9" w:line="267" w:lineRule="auto"/>
        <w:ind w:left="2119"/>
        <w:jc w:val="both"/>
      </w:pPr>
      <w:r>
        <w:rPr>
          <w:rFonts w:ascii="Times New Roman" w:eastAsia="Times New Roman" w:hAnsi="Times New Roman" w:cs="Times New Roman"/>
          <w:i/>
          <w:sz w:val="24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(FERREIRA, Gilmar Mendes, </w:t>
      </w:r>
      <w:r>
        <w:rPr>
          <w:rFonts w:ascii="Times New Roman" w:eastAsia="Times New Roman" w:hAnsi="Times New Roman" w:cs="Times New Roman"/>
          <w:i/>
          <w:sz w:val="24"/>
        </w:rPr>
        <w:t>in</w:t>
      </w:r>
      <w:r>
        <w:rPr>
          <w:rFonts w:ascii="Times New Roman" w:eastAsia="Times New Roman" w:hAnsi="Times New Roman" w:cs="Times New Roman"/>
          <w:sz w:val="24"/>
        </w:rPr>
        <w:t xml:space="preserve"> Gestão Pública e Direito Municipal, 1ª. ed., Saraiva).</w:t>
      </w:r>
      <w:r>
        <w:rPr>
          <w:rFonts w:ascii="Arial" w:eastAsia="Arial" w:hAnsi="Arial" w:cs="Arial"/>
          <w:sz w:val="24"/>
        </w:rPr>
        <w:t xml:space="preserve"> </w:t>
      </w:r>
    </w:p>
    <w:p w:rsidR="00974AA2" w:rsidRDefault="007A1E81">
      <w:pPr>
        <w:spacing w:after="312"/>
      </w:pPr>
      <w:r>
        <w:rPr>
          <w:rFonts w:ascii="Times New Roman" w:eastAsia="Times New Roman" w:hAnsi="Times New Roman" w:cs="Times New Roman"/>
          <w:i/>
          <w:color w:val="232323"/>
          <w:sz w:val="24"/>
        </w:rPr>
        <w:t xml:space="preserve"> </w:t>
      </w:r>
    </w:p>
    <w:p w:rsidR="00974AA2" w:rsidRDefault="007A1E81">
      <w:pPr>
        <w:spacing w:after="157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Acrescenta </w:t>
      </w:r>
      <w:r>
        <w:rPr>
          <w:rFonts w:ascii="Times New Roman" w:eastAsia="Times New Roman" w:hAnsi="Times New Roman" w:cs="Times New Roman"/>
          <w:b/>
          <w:sz w:val="24"/>
        </w:rPr>
        <w:t>Hely Lopes Meirelles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in</w:t>
      </w:r>
      <w:r>
        <w:rPr>
          <w:rFonts w:ascii="Times New Roman" w:eastAsia="Times New Roman" w:hAnsi="Times New Roman" w:cs="Times New Roman"/>
          <w:sz w:val="24"/>
        </w:rPr>
        <w:t xml:space="preserve"> Direito Municipal Brasileiro, 10ª ed., p. 457: </w:t>
      </w:r>
    </w:p>
    <w:p w:rsidR="00974AA2" w:rsidRDefault="007A1E81">
      <w:pPr>
        <w:spacing w:after="53" w:line="267" w:lineRule="auto"/>
        <w:ind w:left="2119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“De um modo geral,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pode a Câmara, por deliberação do plenário,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indicar medidas administrativas ao prefeito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adjuvandi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causa, isto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é, a título de colaboração e sem força coativa ou obrigatória para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o Executivo</w:t>
      </w:r>
      <w:r>
        <w:rPr>
          <w:rFonts w:ascii="Times New Roman" w:eastAsia="Times New Roman" w:hAnsi="Times New Roman" w:cs="Times New Roman"/>
          <w:b/>
          <w:i/>
          <w:sz w:val="24"/>
        </w:rPr>
        <w:t>;</w:t>
      </w:r>
      <w:r>
        <w:rPr>
          <w:rFonts w:ascii="Times New Roman" w:eastAsia="Times New Roman" w:hAnsi="Times New Roman" w:cs="Times New Roman"/>
          <w:i/>
          <w:sz w:val="24"/>
        </w:rPr>
        <w:t xml:space="preserve"> o que não pode é prover situações concretas por seus próprios atos ou impor ao Executivo a tomada de medidas específicas de sua exclusiva competência e atribuição. Usurpando funções do Executivo ou suprimindo atribuições do prefeito, a </w:t>
      </w:r>
    </w:p>
    <w:p w:rsidR="00974AA2" w:rsidRDefault="007A1E81" w:rsidP="006B4684">
      <w:pPr>
        <w:spacing w:after="98" w:line="267" w:lineRule="auto"/>
        <w:ind w:left="2119" w:right="93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Câmara praticará ilegalidade reprimível por via judicial”.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grifo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nosso)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B4684" w:rsidRDefault="006B4684" w:rsidP="006B4684">
      <w:pPr>
        <w:spacing w:after="98" w:line="267" w:lineRule="auto"/>
        <w:ind w:left="2119" w:right="93"/>
        <w:jc w:val="both"/>
      </w:pPr>
    </w:p>
    <w:p w:rsidR="00974AA2" w:rsidRDefault="007A1E81">
      <w:pPr>
        <w:spacing w:after="157"/>
        <w:ind w:left="10" w:right="-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Consoante tem sido o entendimento do Órgão Especial do Tribunal de Justiça de </w:t>
      </w:r>
    </w:p>
    <w:p w:rsidR="00974AA2" w:rsidRDefault="007A1E81">
      <w:pPr>
        <w:spacing w:after="201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São Paulo. A Lei 4.639/2013, que instituiu o “Dia da Bíblia” no município de Suzano e trata de matéria análoga à em análise, foi declarada constitucional pelo Des. Rel. Antônio Carlos Malheiros na Ação Direta de Inconstitucionalidade, cumpre registrar o seguinte: </w:t>
      </w:r>
    </w:p>
    <w:p w:rsidR="00974AA2" w:rsidRDefault="007A1E81" w:rsidP="006B4684">
      <w:pPr>
        <w:spacing w:after="208" w:line="267" w:lineRule="auto"/>
        <w:ind w:left="2119"/>
        <w:jc w:val="both"/>
      </w:pPr>
      <w:r>
        <w:rPr>
          <w:rFonts w:ascii="Times New Roman" w:eastAsia="Times New Roman" w:hAnsi="Times New Roman" w:cs="Times New Roman"/>
          <w:i/>
          <w:sz w:val="24"/>
        </w:rPr>
        <w:t>“A Lei, ora em exame</w:t>
      </w:r>
      <w:r>
        <w:rPr>
          <w:rFonts w:ascii="Times New Roman" w:eastAsia="Times New Roman" w:hAnsi="Times New Roman" w:cs="Times New Roman"/>
          <w:b/>
          <w:i/>
          <w:sz w:val="24"/>
        </w:rPr>
        <w:t>, não tratou de matéria cuja iniciativa é reservada ao Chefe do Poder Executivo Municipal</w:t>
      </w:r>
      <w:r>
        <w:rPr>
          <w:rFonts w:ascii="Times New Roman" w:eastAsia="Times New Roman" w:hAnsi="Times New Roman" w:cs="Times New Roman"/>
          <w:i/>
          <w:sz w:val="24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Default="007A1E81" w:rsidP="006B4684">
      <w:pPr>
        <w:spacing w:after="212" w:line="237" w:lineRule="auto"/>
        <w:ind w:left="2112" w:right="-12"/>
        <w:jc w:val="both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Por força da Constituição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os municípios foram dotados de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autonomia legislativa, que vem consubstanciada na capacidade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de legislar sobre assuntos de interesse local, inclusive a fixação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de datas comemorativa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z w:val="24"/>
        </w:rPr>
        <w:t xml:space="preserve"> e de suplementar a legislação federal e estadual no que couber (art. 30, I e II, da CF). (...) </w:t>
      </w:r>
    </w:p>
    <w:p w:rsidR="00974AA2" w:rsidRDefault="007A1E81" w:rsidP="006B4684">
      <w:pPr>
        <w:spacing w:after="208" w:line="267" w:lineRule="auto"/>
        <w:ind w:left="2119"/>
        <w:jc w:val="both"/>
      </w:pPr>
      <w:r>
        <w:rPr>
          <w:rFonts w:ascii="Times New Roman" w:eastAsia="Times New Roman" w:hAnsi="Times New Roman" w:cs="Times New Roman"/>
          <w:i/>
          <w:sz w:val="24"/>
        </w:rPr>
        <w:t>Observe-se, ainda, que a lei em foco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não importa em aumento da despesa pública,</w:t>
      </w:r>
      <w:r>
        <w:rPr>
          <w:rFonts w:ascii="Times New Roman" w:eastAsia="Times New Roman" w:hAnsi="Times New Roman" w:cs="Times New Roman"/>
          <w:i/>
          <w:sz w:val="24"/>
        </w:rPr>
        <w:t xml:space="preserve"> na medida em que não há previsão nesse sentido, não obrigando o Poder Público à efetiva realização de comemoração ou festividade oficial.  (...)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spacing w:after="208" w:line="267" w:lineRule="auto"/>
        <w:ind w:left="2119"/>
        <w:jc w:val="both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Não se vê, portanto, qualquer ofensa na lei que institui mera data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comemorativa</w:t>
      </w:r>
      <w:r>
        <w:rPr>
          <w:rFonts w:ascii="Times New Roman" w:eastAsia="Times New Roman" w:hAnsi="Times New Roman" w:cs="Times New Roman"/>
          <w:i/>
          <w:sz w:val="24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grifo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nosso) </w:t>
      </w:r>
    </w:p>
    <w:p w:rsidR="00974AA2" w:rsidRDefault="007A1E81">
      <w:pPr>
        <w:spacing w:after="19"/>
        <w:ind w:left="21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spacing w:after="3" w:line="35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Isto posto, S.M.J, não se vislumbra obstáculos legais à tramitação do aludido Projeto de Lei, visto que não invade a competência do Executivo por sugerir medidas à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Administração Pública a título de colaboração e sem força coativa ou obrigatória de execução.  </w:t>
      </w:r>
    </w:p>
    <w:p w:rsidR="00974AA2" w:rsidRDefault="007A1E81">
      <w:pPr>
        <w:spacing w:after="112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spacing w:after="198" w:line="358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Ressalta-se que, quanto ao mérito, a competência para análise da matéria é única e exclusiva do Douto Plenário desta Casa de Leis </w:t>
      </w:r>
    </w:p>
    <w:p w:rsidR="00974AA2" w:rsidRDefault="007A1E81">
      <w:pPr>
        <w:spacing w:after="12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pStyle w:val="Ttulo1"/>
        <w:ind w:left="718"/>
      </w:pPr>
      <w:r>
        <w:t xml:space="preserve">QUORUM </w:t>
      </w:r>
    </w:p>
    <w:p w:rsidR="00974AA2" w:rsidRDefault="007A1E81">
      <w:pPr>
        <w:spacing w:after="198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B4684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974AA2" w:rsidRDefault="007A1E81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pStyle w:val="Ttulo1"/>
        <w:ind w:left="718"/>
      </w:pPr>
      <w:r>
        <w:t xml:space="preserve">CONCLUSÃO </w:t>
      </w:r>
    </w:p>
    <w:p w:rsidR="00974AA2" w:rsidRDefault="007A1E81">
      <w:pPr>
        <w:tabs>
          <w:tab w:val="right" w:pos="8509"/>
        </w:tabs>
        <w:spacing w:after="1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Por tais razões, exara-se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parecer favorável</w:t>
      </w:r>
      <w:r>
        <w:rPr>
          <w:rFonts w:ascii="Times New Roman" w:eastAsia="Times New Roman" w:hAnsi="Times New Roman" w:cs="Times New Roman"/>
          <w:sz w:val="24"/>
        </w:rPr>
        <w:t xml:space="preserve"> ao regular processo de tramitação do </w:t>
      </w:r>
    </w:p>
    <w:p w:rsidR="00974AA2" w:rsidRDefault="000E739D">
      <w:pPr>
        <w:spacing w:after="200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Projeto de Lei 7.849</w:t>
      </w:r>
      <w:r w:rsidR="00E34A20">
        <w:rPr>
          <w:rFonts w:ascii="Times New Roman" w:eastAsia="Times New Roman" w:hAnsi="Times New Roman" w:cs="Times New Roman"/>
          <w:b/>
          <w:sz w:val="24"/>
        </w:rPr>
        <w:t>/2023</w:t>
      </w:r>
      <w:r w:rsidR="007A1E81">
        <w:rPr>
          <w:rFonts w:ascii="Times New Roman" w:eastAsia="Times New Roman" w:hAnsi="Times New Roman" w:cs="Times New Roman"/>
          <w:sz w:val="24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 </w:t>
      </w:r>
    </w:p>
    <w:p w:rsidR="00974AA2" w:rsidRDefault="007A1E81">
      <w:pPr>
        <w:spacing w:after="312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É o modesto entendimento e parecer, S.M.J </w:t>
      </w:r>
    </w:p>
    <w:p w:rsidR="00974AA2" w:rsidRDefault="007A1E81">
      <w:pPr>
        <w:spacing w:after="3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4AA2" w:rsidRDefault="007A1E81">
      <w:pPr>
        <w:spacing w:after="0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Rodrigo Moraes Pereira  </w:t>
      </w:r>
    </w:p>
    <w:p w:rsidR="00974AA2" w:rsidRDefault="007A1E81">
      <w:pPr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OAB/MG nº 114.586 </w:t>
      </w:r>
    </w:p>
    <w:p w:rsidR="00974AA2" w:rsidRDefault="007A1E81">
      <w:pPr>
        <w:spacing w:after="0"/>
      </w:pPr>
      <w:r>
        <w:t xml:space="preserve"> </w:t>
      </w:r>
    </w:p>
    <w:sectPr w:rsidR="00974AA2">
      <w:footerReference w:type="even" r:id="rId7"/>
      <w:footerReference w:type="default" r:id="rId8"/>
      <w:footerReference w:type="first" r:id="rId9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5F" w:rsidRDefault="00A24C5F">
      <w:pPr>
        <w:spacing w:after="0" w:line="240" w:lineRule="auto"/>
      </w:pPr>
      <w:r>
        <w:separator/>
      </w:r>
    </w:p>
  </w:endnote>
  <w:endnote w:type="continuationSeparator" w:id="0">
    <w:p w:rsidR="00A24C5F" w:rsidRDefault="00A2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 w:rsidR="004950D4">
      <w:rPr>
        <w:rFonts w:ascii="Times New Roman" w:eastAsia="Times New Roman" w:hAnsi="Times New Roman" w:cs="Times New Roman"/>
        <w:noProof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5F" w:rsidRDefault="00A24C5F">
      <w:pPr>
        <w:spacing w:after="0" w:line="240" w:lineRule="auto"/>
      </w:pPr>
      <w:r>
        <w:separator/>
      </w:r>
    </w:p>
  </w:footnote>
  <w:footnote w:type="continuationSeparator" w:id="0">
    <w:p w:rsidR="00A24C5F" w:rsidRDefault="00A24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E739D"/>
    <w:rsid w:val="004950D4"/>
    <w:rsid w:val="006B4684"/>
    <w:rsid w:val="007A1E81"/>
    <w:rsid w:val="00974AA2"/>
    <w:rsid w:val="00A24C5F"/>
    <w:rsid w:val="00AC3B92"/>
    <w:rsid w:val="00DD23CB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usuario-3668</cp:lastModifiedBy>
  <cp:revision>3</cp:revision>
  <dcterms:created xsi:type="dcterms:W3CDTF">2023-04-24T20:08:00Z</dcterms:created>
  <dcterms:modified xsi:type="dcterms:W3CDTF">2023-04-24T20:17:00Z</dcterms:modified>
</cp:coreProperties>
</file>