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108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E826A0">
        <w:rPr>
          <w:color w:val="000000"/>
        </w:rPr>
        <w:t>cópia do processo licitatório para execução das obras da “Via Gastronômica”, bem como cópia do contrato firmado com a empresa e a Prefeitura para esta obra, o atual e o anterior.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E82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</w:t>
      </w:r>
      <w:r w:rsidR="00E826A0">
        <w:t>o se faz necessário uma vez que</w:t>
      </w:r>
      <w:r>
        <w:t xml:space="preserve"> o Poder Legislativo prioriza a fiscalização, visando transparência dos atos administrativos, mediante os questionamentos dos munícipes.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8 de Agosto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4E36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20F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3CCF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26A0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2017-08-15T20:25:00Z</dcterms:created>
  <dcterms:modified xsi:type="dcterms:W3CDTF">2017-08-15T20:25:00Z</dcterms:modified>
</cp:coreProperties>
</file>