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D9" w:rsidRPr="009A1FD9" w:rsidRDefault="009A1FD9" w:rsidP="009A1FD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A1FD9">
        <w:rPr>
          <w:rFonts w:ascii="Times New Roman" w:hAnsi="Times New Roman"/>
          <w:b/>
          <w:sz w:val="24"/>
          <w:szCs w:val="24"/>
        </w:rPr>
        <w:t>PROJETO DE LEI Nº 1.368</w:t>
      </w:r>
      <w:r w:rsidRPr="009A1FD9">
        <w:rPr>
          <w:rFonts w:ascii="Times New Roman" w:hAnsi="Times New Roman"/>
          <w:b/>
          <w:sz w:val="24"/>
          <w:szCs w:val="24"/>
        </w:rPr>
        <w:t xml:space="preserve"> /</w:t>
      </w:r>
      <w:r w:rsidRPr="009A1FD9">
        <w:rPr>
          <w:rFonts w:ascii="Times New Roman" w:hAnsi="Times New Roman"/>
          <w:b/>
          <w:sz w:val="24"/>
          <w:szCs w:val="24"/>
        </w:rPr>
        <w:t xml:space="preserve"> 2022</w:t>
      </w:r>
    </w:p>
    <w:p w:rsidR="009A1FD9" w:rsidRDefault="009A1FD9" w:rsidP="009A1FD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A1FD9" w:rsidRPr="009A1FD9" w:rsidRDefault="009A1FD9" w:rsidP="009A1FD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A1FD9" w:rsidRPr="009A1FD9" w:rsidRDefault="009A1FD9" w:rsidP="009A1FD9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9A1FD9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9A1FD9" w:rsidRPr="009A1FD9" w:rsidRDefault="009A1FD9" w:rsidP="009A1FD9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9A1FD9" w:rsidRPr="009A1FD9" w:rsidRDefault="009A1FD9" w:rsidP="009A1FD9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9A1FD9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9A1FD9" w:rsidRDefault="009A1FD9" w:rsidP="009A1FD9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A1FD9" w:rsidRPr="001174E3" w:rsidRDefault="009A1FD9" w:rsidP="009A1FD9">
      <w:pPr>
        <w:pStyle w:val="SemEspaamento"/>
        <w:jc w:val="both"/>
        <w:rPr>
          <w:noProof/>
          <w:lang w:eastAsia="pt-BR"/>
        </w:rPr>
      </w:pPr>
      <w:r w:rsidRPr="009A1FD9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tbl>
      <w:tblPr>
        <w:tblpPr w:leftFromText="141" w:rightFromText="141" w:vertAnchor="text" w:horzAnchor="margin" w:tblpY="13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134"/>
        <w:gridCol w:w="1134"/>
        <w:gridCol w:w="709"/>
        <w:gridCol w:w="1276"/>
        <w:gridCol w:w="1134"/>
        <w:gridCol w:w="850"/>
        <w:gridCol w:w="1560"/>
      </w:tblGrid>
      <w:tr w:rsidR="009A1FD9" w:rsidRPr="001174E3" w:rsidTr="009A1FD9">
        <w:trPr>
          <w:trHeight w:val="629"/>
        </w:trPr>
        <w:tc>
          <w:tcPr>
            <w:tcW w:w="817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Órgão</w:t>
            </w:r>
          </w:p>
        </w:tc>
        <w:tc>
          <w:tcPr>
            <w:tcW w:w="709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proofErr w:type="spellStart"/>
            <w:r w:rsidRPr="001174E3">
              <w:rPr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Programa</w:t>
            </w:r>
          </w:p>
        </w:tc>
        <w:tc>
          <w:tcPr>
            <w:tcW w:w="709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Ação</w:t>
            </w:r>
          </w:p>
        </w:tc>
        <w:tc>
          <w:tcPr>
            <w:tcW w:w="1276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Fonte de Recurso</w:t>
            </w:r>
          </w:p>
        </w:tc>
        <w:tc>
          <w:tcPr>
            <w:tcW w:w="850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Ref. Nº</w:t>
            </w:r>
          </w:p>
        </w:tc>
        <w:tc>
          <w:tcPr>
            <w:tcW w:w="1560" w:type="dxa"/>
            <w:shd w:val="clear" w:color="auto" w:fill="BFBFBF"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Valor R$</w:t>
            </w:r>
          </w:p>
        </w:tc>
      </w:tr>
      <w:tr w:rsidR="009A1FD9" w:rsidRPr="001174E3" w:rsidTr="009A1FD9">
        <w:trPr>
          <w:trHeight w:val="30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011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0010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0304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0002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2114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3.31901100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1701013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>1795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A1FD9" w:rsidRPr="001174E3" w:rsidRDefault="009A1FD9" w:rsidP="009A1FD9">
            <w:pPr>
              <w:pStyle w:val="SemEspaamento"/>
              <w:jc w:val="both"/>
              <w:rPr>
                <w:sz w:val="18"/>
                <w:szCs w:val="18"/>
              </w:rPr>
            </w:pPr>
            <w:r w:rsidRPr="001174E3">
              <w:rPr>
                <w:sz w:val="18"/>
                <w:szCs w:val="18"/>
              </w:rPr>
              <w:t xml:space="preserve"> R$ 330.000,00 </w:t>
            </w:r>
          </w:p>
        </w:tc>
      </w:tr>
      <w:tr w:rsidR="009A1FD9" w:rsidRPr="001174E3" w:rsidTr="009A1FD9">
        <w:tc>
          <w:tcPr>
            <w:tcW w:w="817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  <w:r w:rsidRPr="001174E3">
              <w:rPr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9A1FD9" w:rsidRPr="001174E3" w:rsidRDefault="009A1FD9" w:rsidP="009A1FD9">
            <w:pPr>
              <w:pStyle w:val="SemEspaamento"/>
              <w:jc w:val="both"/>
              <w:rPr>
                <w:noProof/>
                <w:sz w:val="18"/>
                <w:szCs w:val="18"/>
                <w:lang w:eastAsia="pt-BR"/>
              </w:rPr>
            </w:pPr>
            <w:r w:rsidRPr="001174E3">
              <w:rPr>
                <w:noProof/>
                <w:sz w:val="18"/>
                <w:szCs w:val="18"/>
                <w:lang w:eastAsia="pt-BR"/>
              </w:rPr>
              <w:t>330.000,00</w:t>
            </w:r>
          </w:p>
        </w:tc>
      </w:tr>
    </w:tbl>
    <w:p w:rsidR="009A1FD9" w:rsidRDefault="009A1FD9" w:rsidP="009A1FD9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A1FD9" w:rsidRDefault="009A1FD9" w:rsidP="009A1FD9">
      <w:pPr>
        <w:pStyle w:val="SemEspaamento"/>
        <w:jc w:val="both"/>
        <w:rPr>
          <w:noProof/>
          <w:lang w:eastAsia="pt-BR"/>
        </w:rPr>
      </w:pPr>
      <w:r w:rsidRPr="009A1FD9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9A1FD9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suplementar, no valor de R$ 330.000,00 (trezentos e trinta mil reais) para adequação de dotações da Secretaria Municipal de Saúde</w:t>
      </w:r>
      <w:r w:rsidRPr="001174E3">
        <w:rPr>
          <w:noProof/>
          <w:lang w:eastAsia="pt-BR"/>
        </w:rPr>
        <w:t>.</w:t>
      </w:r>
    </w:p>
    <w:p w:rsidR="009A1FD9" w:rsidRPr="001174E3" w:rsidRDefault="009A1FD9" w:rsidP="009A1FD9">
      <w:pPr>
        <w:pStyle w:val="SemEspaamento"/>
        <w:rPr>
          <w:noProof/>
          <w:lang w:eastAsia="pt-BR"/>
        </w:rPr>
      </w:pPr>
    </w:p>
    <w:p w:rsidR="009A1FD9" w:rsidRDefault="009A1FD9" w:rsidP="009A1FD9">
      <w:pPr>
        <w:tabs>
          <w:tab w:val="left" w:pos="2835"/>
        </w:tabs>
        <w:ind w:left="-284" w:right="28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9A1FD9" w:rsidRP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</w:p>
    <w:p w:rsid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  <w:r w:rsidRPr="009A1FD9">
        <w:rPr>
          <w:rFonts w:ascii="Times New Roman" w:hAnsi="Times New Roman"/>
          <w:b/>
          <w:sz w:val="24"/>
          <w:szCs w:val="24"/>
        </w:rPr>
        <w:t>Art. 2º</w:t>
      </w:r>
      <w:r w:rsidRPr="009A1FD9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 a anulação de dotação orçamentária, conforme abaixo discriminado.</w:t>
      </w:r>
    </w:p>
    <w:p w:rsidR="009A1FD9" w:rsidRP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1134"/>
        <w:gridCol w:w="1134"/>
        <w:gridCol w:w="709"/>
        <w:gridCol w:w="1275"/>
        <w:gridCol w:w="1134"/>
        <w:gridCol w:w="851"/>
        <w:gridCol w:w="1559"/>
      </w:tblGrid>
      <w:tr w:rsidR="009A1FD9" w:rsidRPr="001174E3" w:rsidTr="009A1FD9">
        <w:trPr>
          <w:trHeight w:val="629"/>
        </w:trPr>
        <w:tc>
          <w:tcPr>
            <w:tcW w:w="852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08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851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74E3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 xml:space="preserve">Programa </w:t>
            </w:r>
          </w:p>
        </w:tc>
        <w:tc>
          <w:tcPr>
            <w:tcW w:w="709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275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851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559" w:type="dxa"/>
            <w:shd w:val="clear" w:color="auto" w:fill="BFBFBF"/>
          </w:tcPr>
          <w:p w:rsidR="009A1FD9" w:rsidRPr="001174E3" w:rsidRDefault="009A1FD9" w:rsidP="000F5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74E3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9A1FD9" w:rsidRPr="001174E3" w:rsidTr="009A1FD9">
        <w:tc>
          <w:tcPr>
            <w:tcW w:w="852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0846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3.33904700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1701001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A1FD9" w:rsidRPr="001174E3" w:rsidRDefault="009A1FD9" w:rsidP="000F51D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174E3">
              <w:rPr>
                <w:rFonts w:cs="Calibri"/>
                <w:color w:val="000000"/>
                <w:sz w:val="20"/>
                <w:szCs w:val="20"/>
              </w:rPr>
              <w:t xml:space="preserve"> R$ 330.000,00</w:t>
            </w:r>
          </w:p>
        </w:tc>
      </w:tr>
      <w:tr w:rsidR="009A1FD9" w:rsidRPr="001174E3" w:rsidTr="009A1FD9">
        <w:tc>
          <w:tcPr>
            <w:tcW w:w="852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1174E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9A1FD9" w:rsidRPr="001174E3" w:rsidRDefault="009A1FD9" w:rsidP="000F51DC">
            <w:pPr>
              <w:tabs>
                <w:tab w:val="left" w:pos="-108"/>
                <w:tab w:val="left" w:pos="33"/>
                <w:tab w:val="left" w:pos="26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  <w:r w:rsidRPr="001174E3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t>330.000,00</w:t>
            </w:r>
          </w:p>
        </w:tc>
      </w:tr>
    </w:tbl>
    <w:p w:rsidR="009A1FD9" w:rsidRP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1FD9" w:rsidRP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1FD9">
        <w:rPr>
          <w:rFonts w:ascii="Times New Roman" w:hAnsi="Times New Roman"/>
          <w:b/>
          <w:sz w:val="24"/>
          <w:szCs w:val="24"/>
        </w:rPr>
        <w:t>Art. 3º</w:t>
      </w:r>
      <w:r w:rsidRPr="009A1FD9">
        <w:rPr>
          <w:rFonts w:ascii="Times New Roman" w:hAnsi="Times New Roman"/>
          <w:sz w:val="24"/>
          <w:szCs w:val="24"/>
        </w:rPr>
        <w:t xml:space="preserve"> Os créditos das dotações constantes desta Lei poderão, caso necessário, ser suplementados no decorrer do Exercício Financeiro de 2022, dentro do limite estabelecido na Lei Orçamentária Anual.</w:t>
      </w:r>
    </w:p>
    <w:p w:rsid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1FD9" w:rsidRP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1FD9">
        <w:rPr>
          <w:rFonts w:ascii="Times New Roman" w:hAnsi="Times New Roman"/>
          <w:b/>
          <w:sz w:val="24"/>
          <w:szCs w:val="24"/>
        </w:rPr>
        <w:t>Art. 4º</w:t>
      </w:r>
      <w:r w:rsidRPr="009A1FD9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1FD9" w:rsidRP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1FD9">
        <w:rPr>
          <w:rFonts w:ascii="Times New Roman" w:hAnsi="Times New Roman"/>
          <w:b/>
          <w:sz w:val="24"/>
          <w:szCs w:val="24"/>
        </w:rPr>
        <w:t>Art. 5º</w:t>
      </w:r>
      <w:r w:rsidRPr="009A1FD9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1FD9" w:rsidRPr="009A1FD9" w:rsidRDefault="009A1FD9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A1FD9" w:rsidRDefault="009A1FD9" w:rsidP="009A1FD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A1FD9">
        <w:rPr>
          <w:rFonts w:ascii="Times New Roman" w:hAnsi="Times New Roman"/>
          <w:sz w:val="24"/>
          <w:szCs w:val="24"/>
        </w:rPr>
        <w:t>Pouso Alegre, 2</w:t>
      </w:r>
      <w:r w:rsidR="00A0394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9A1FD9">
        <w:rPr>
          <w:rFonts w:ascii="Times New Roman" w:hAnsi="Times New Roman"/>
          <w:sz w:val="24"/>
          <w:szCs w:val="24"/>
        </w:rPr>
        <w:t xml:space="preserve"> de agosto de 2022.</w:t>
      </w:r>
    </w:p>
    <w:p w:rsid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</w:p>
    <w:p w:rsid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</w:p>
    <w:p w:rsidR="009A1FD9" w:rsidRDefault="009A1FD9" w:rsidP="009A1FD9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A1FD9" w:rsidTr="009A1FD9">
        <w:tc>
          <w:tcPr>
            <w:tcW w:w="5097" w:type="dxa"/>
          </w:tcPr>
          <w:p w:rsidR="009A1FD9" w:rsidRDefault="009A1FD9" w:rsidP="009A1F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9A1FD9" w:rsidRDefault="009A1FD9" w:rsidP="009A1FD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9A1FD9" w:rsidRPr="009A1FD9" w:rsidTr="009A1FD9">
        <w:tc>
          <w:tcPr>
            <w:tcW w:w="5097" w:type="dxa"/>
          </w:tcPr>
          <w:p w:rsidR="009A1FD9" w:rsidRPr="009A1FD9" w:rsidRDefault="009A1FD9" w:rsidP="009A1F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D9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A1FD9" w:rsidRPr="009A1FD9" w:rsidRDefault="009A1FD9" w:rsidP="009A1FD9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D9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A1FD9" w:rsidRPr="009A1FD9" w:rsidRDefault="009A1FD9" w:rsidP="009A1FD9">
      <w:pPr>
        <w:pStyle w:val="SemEspaamento"/>
        <w:rPr>
          <w:rFonts w:ascii="Times New Roman" w:hAnsi="Times New Roman"/>
          <w:sz w:val="20"/>
          <w:szCs w:val="20"/>
        </w:rPr>
      </w:pPr>
    </w:p>
    <w:p w:rsidR="00965C98" w:rsidRPr="009A1FD9" w:rsidRDefault="00965C98" w:rsidP="009A1FD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965C98" w:rsidRPr="009A1FD9" w:rsidSect="009A1FD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D9"/>
    <w:rsid w:val="00965C98"/>
    <w:rsid w:val="009A1FD9"/>
    <w:rsid w:val="00A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86C0-1279-448F-9DA7-E17E6473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1FD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A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2022-08-24T17:29:00Z</dcterms:created>
  <dcterms:modified xsi:type="dcterms:W3CDTF">2022-08-24T17:39:00Z</dcterms:modified>
</cp:coreProperties>
</file>