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57" w:rsidRPr="00C20057" w:rsidRDefault="00C20057" w:rsidP="00C20057">
      <w:pPr>
        <w:pStyle w:val="SemEspaamento"/>
        <w:jc w:val="center"/>
        <w:rPr>
          <w:rFonts w:ascii="Times New Roman" w:hAnsi="Times New Roman"/>
          <w:b/>
          <w:sz w:val="24"/>
          <w:szCs w:val="24"/>
        </w:rPr>
      </w:pPr>
      <w:r w:rsidRPr="00C20057">
        <w:rPr>
          <w:rFonts w:ascii="Times New Roman" w:hAnsi="Times New Roman"/>
          <w:b/>
          <w:sz w:val="24"/>
          <w:szCs w:val="24"/>
        </w:rPr>
        <w:t>PROJETO DE LEI Nº 1.281 / 2022</w:t>
      </w:r>
    </w:p>
    <w:p w:rsidR="00C20057" w:rsidRPr="00C20057" w:rsidRDefault="00C20057" w:rsidP="00C20057">
      <w:pPr>
        <w:pStyle w:val="SemEspaamento"/>
        <w:rPr>
          <w:rFonts w:ascii="Times New Roman" w:hAnsi="Times New Roman"/>
          <w:b/>
          <w:sz w:val="24"/>
          <w:szCs w:val="24"/>
        </w:rPr>
      </w:pPr>
    </w:p>
    <w:p w:rsidR="00C20057" w:rsidRDefault="00C20057" w:rsidP="00C20057">
      <w:pPr>
        <w:pStyle w:val="SemEspaamento"/>
        <w:ind w:left="5103"/>
        <w:jc w:val="both"/>
        <w:rPr>
          <w:rFonts w:ascii="Times New Roman" w:hAnsi="Times New Roman"/>
          <w:b/>
          <w:sz w:val="24"/>
          <w:szCs w:val="24"/>
        </w:rPr>
      </w:pPr>
    </w:p>
    <w:p w:rsidR="00C20057" w:rsidRPr="00C20057" w:rsidRDefault="00C20057" w:rsidP="00C20057">
      <w:pPr>
        <w:pStyle w:val="SemEspaamento"/>
        <w:ind w:left="5103"/>
        <w:jc w:val="both"/>
        <w:rPr>
          <w:rFonts w:ascii="Times New Roman" w:hAnsi="Times New Roman"/>
          <w:b/>
          <w:sz w:val="24"/>
          <w:szCs w:val="24"/>
        </w:rPr>
      </w:pPr>
      <w:r w:rsidRPr="00C20057">
        <w:rPr>
          <w:rFonts w:ascii="Times New Roman" w:hAnsi="Times New Roman"/>
          <w:b/>
          <w:sz w:val="24"/>
          <w:szCs w:val="24"/>
        </w:rPr>
        <w:t>DISPÕE SOBRE A TAXA DE LICENÇA PARA PUBLICIDADE PERMITIDA E DÁ OUTRAS PROVIDÊNCIAS.</w:t>
      </w:r>
    </w:p>
    <w:p w:rsidR="00C20057" w:rsidRPr="00C20057" w:rsidRDefault="00C20057" w:rsidP="00C20057">
      <w:pPr>
        <w:pStyle w:val="SemEspaamento"/>
        <w:ind w:left="5103"/>
        <w:rPr>
          <w:rFonts w:ascii="Times New Roman" w:eastAsia="Times New Roman" w:hAnsi="Times New Roman"/>
          <w:b/>
          <w:bCs/>
          <w:sz w:val="24"/>
          <w:szCs w:val="24"/>
          <w:lang w:eastAsia="pt-BR"/>
        </w:rPr>
      </w:pPr>
    </w:p>
    <w:p w:rsidR="00C20057" w:rsidRPr="00C20057" w:rsidRDefault="00C20057" w:rsidP="00C20057">
      <w:pPr>
        <w:pStyle w:val="SemEspaamento"/>
        <w:ind w:left="5103"/>
        <w:rPr>
          <w:rFonts w:ascii="Times New Roman" w:eastAsia="Times New Roman" w:hAnsi="Times New Roman"/>
          <w:bCs/>
          <w:sz w:val="20"/>
          <w:szCs w:val="20"/>
          <w:lang w:eastAsia="pt-BR"/>
        </w:rPr>
      </w:pPr>
      <w:r w:rsidRPr="00C20057">
        <w:rPr>
          <w:rFonts w:ascii="Times New Roman" w:eastAsia="Times New Roman" w:hAnsi="Times New Roman"/>
          <w:b/>
          <w:bCs/>
          <w:sz w:val="20"/>
          <w:szCs w:val="20"/>
          <w:lang w:eastAsia="pt-BR"/>
        </w:rPr>
        <w:t>Autor: Poder Executivo</w:t>
      </w:r>
    </w:p>
    <w:p w:rsidR="00C20057" w:rsidRPr="00C20057" w:rsidRDefault="00C20057" w:rsidP="00C20057">
      <w:pPr>
        <w:pStyle w:val="SemEspaamento"/>
        <w:rPr>
          <w:rFonts w:ascii="Times New Roman" w:eastAsia="Times New Roman" w:hAnsi="Times New Roman"/>
          <w:bCs/>
          <w:sz w:val="24"/>
          <w:szCs w:val="24"/>
          <w:lang w:eastAsia="pt-BR"/>
        </w:rPr>
      </w:pPr>
    </w:p>
    <w:p w:rsidR="00C20057" w:rsidRPr="00C20057" w:rsidRDefault="00C20057" w:rsidP="00C20057">
      <w:pPr>
        <w:pStyle w:val="SemEspaamento"/>
        <w:rPr>
          <w:rFonts w:ascii="Times New Roman" w:eastAsia="Times New Roman" w:hAnsi="Times New Roman"/>
          <w:sz w:val="24"/>
          <w:szCs w:val="24"/>
          <w:lang w:eastAsia="pt-BR"/>
        </w:rPr>
      </w:pPr>
    </w:p>
    <w:p w:rsidR="00C20057" w:rsidRPr="00C20057" w:rsidRDefault="00C20057" w:rsidP="00C20057">
      <w:pPr>
        <w:pStyle w:val="SemEspaamento"/>
        <w:jc w:val="both"/>
        <w:rPr>
          <w:rFonts w:ascii="Times New Roman" w:eastAsia="Times New Roman" w:hAnsi="Times New Roman"/>
          <w:sz w:val="24"/>
          <w:szCs w:val="24"/>
          <w:lang w:eastAsia="pt-BR"/>
        </w:rPr>
      </w:pPr>
      <w:r w:rsidRPr="00C20057">
        <w:rPr>
          <w:rFonts w:ascii="Times New Roman" w:eastAsia="Times New Roman" w:hAnsi="Times New Roman"/>
          <w:sz w:val="24"/>
          <w:szCs w:val="24"/>
          <w:lang w:eastAsia="pt-BR"/>
        </w:rPr>
        <w:t>A Câmara Municipal de Pouso Alegre, Estado de Minas Gerais, aprova e o Chefe do Poder Executivo sanciona e promulga a seguinte:</w:t>
      </w:r>
    </w:p>
    <w:p w:rsidR="00C20057" w:rsidRPr="00C20057" w:rsidRDefault="00C20057" w:rsidP="00C20057">
      <w:pPr>
        <w:pStyle w:val="SemEspaamento"/>
        <w:jc w:val="both"/>
        <w:rPr>
          <w:rFonts w:ascii="Times New Roman" w:eastAsia="Times New Roman" w:hAnsi="Times New Roman"/>
          <w:sz w:val="24"/>
          <w:szCs w:val="24"/>
          <w:lang w:eastAsia="pt-BR"/>
        </w:rPr>
      </w:pPr>
    </w:p>
    <w:p w:rsidR="00C20057" w:rsidRPr="00C20057" w:rsidRDefault="00C20057" w:rsidP="00C20057">
      <w:pPr>
        <w:pStyle w:val="SemEspaamento"/>
        <w:jc w:val="both"/>
        <w:rPr>
          <w:rFonts w:ascii="Times New Roman" w:hAnsi="Times New Roman"/>
          <w:sz w:val="24"/>
          <w:szCs w:val="24"/>
        </w:rPr>
      </w:pPr>
      <w:r w:rsidRPr="00C20057">
        <w:rPr>
          <w:rFonts w:ascii="Times New Roman" w:hAnsi="Times New Roman"/>
          <w:b/>
          <w:sz w:val="24"/>
          <w:szCs w:val="24"/>
        </w:rPr>
        <w:t>Art. 1º</w:t>
      </w:r>
      <w:r>
        <w:rPr>
          <w:rFonts w:ascii="Times New Roman" w:hAnsi="Times New Roman"/>
          <w:sz w:val="24"/>
          <w:szCs w:val="24"/>
        </w:rPr>
        <w:t xml:space="preserve"> </w:t>
      </w:r>
      <w:r w:rsidRPr="00C20057">
        <w:rPr>
          <w:rFonts w:ascii="Times New Roman" w:hAnsi="Times New Roman"/>
          <w:sz w:val="24"/>
          <w:szCs w:val="24"/>
        </w:rPr>
        <w:t>A publicidade permitida, através de quaisquer instrumentos de divulgação ou comunicação de todo o tipo ou espécie, processo ou forma, inclusive as que contiverem apenas dizeres, desenhos, siglas, dísticos ou logotipos indicativos ou representativos de nomes, produtos locais ou atividades comerciais, mesmo aquelas afixadas em veículos, fica sujeita a previa licença da Prefeitura Municipal e ao pagamento antecipado da taxa de Licença para publicidade.</w:t>
      </w:r>
    </w:p>
    <w:p w:rsidR="00C20057" w:rsidRPr="00C20057" w:rsidRDefault="00C20057" w:rsidP="00C20057">
      <w:pPr>
        <w:pStyle w:val="SemEspaamento"/>
        <w:jc w:val="both"/>
        <w:rPr>
          <w:rFonts w:ascii="Times New Roman" w:eastAsia="Times New Roman" w:hAnsi="Times New Roman"/>
          <w:sz w:val="24"/>
          <w:szCs w:val="24"/>
          <w:lang w:eastAsia="pt-BR"/>
        </w:rPr>
      </w:pPr>
    </w:p>
    <w:p w:rsidR="00C20057" w:rsidRPr="00C20057" w:rsidRDefault="00C20057" w:rsidP="00C20057">
      <w:pPr>
        <w:pStyle w:val="SemEspaamento"/>
        <w:jc w:val="both"/>
        <w:rPr>
          <w:rFonts w:ascii="Times New Roman" w:hAnsi="Times New Roman"/>
          <w:sz w:val="24"/>
          <w:szCs w:val="24"/>
        </w:rPr>
      </w:pPr>
      <w:r w:rsidRPr="00C20057">
        <w:rPr>
          <w:rFonts w:ascii="Times New Roman" w:hAnsi="Times New Roman"/>
          <w:b/>
          <w:sz w:val="24"/>
          <w:szCs w:val="24"/>
        </w:rPr>
        <w:t>Art. 2º</w:t>
      </w:r>
      <w:r>
        <w:rPr>
          <w:rFonts w:ascii="Times New Roman" w:hAnsi="Times New Roman"/>
          <w:sz w:val="24"/>
          <w:szCs w:val="24"/>
        </w:rPr>
        <w:t xml:space="preserve"> </w:t>
      </w:r>
      <w:r w:rsidRPr="00C20057">
        <w:rPr>
          <w:rFonts w:ascii="Times New Roman" w:hAnsi="Times New Roman"/>
          <w:sz w:val="24"/>
          <w:szCs w:val="24"/>
        </w:rPr>
        <w:t>A cobrança da Taxa de Licença para Publicidade permitida, prevista no artigo 99 da Lei nº</w:t>
      </w:r>
      <w:r>
        <w:rPr>
          <w:rFonts w:ascii="Times New Roman" w:hAnsi="Times New Roman"/>
          <w:sz w:val="24"/>
          <w:szCs w:val="24"/>
        </w:rPr>
        <w:t xml:space="preserve"> </w:t>
      </w:r>
      <w:r w:rsidRPr="00C20057">
        <w:rPr>
          <w:rFonts w:ascii="Times New Roman" w:hAnsi="Times New Roman"/>
          <w:sz w:val="24"/>
          <w:szCs w:val="24"/>
        </w:rPr>
        <w:t>6.543/2021 - Código de Posturas Municipal, será a constante da tabela disposta no Anexo 1 desta Lei, o qual é parte integrante desta Lei.</w:t>
      </w:r>
    </w:p>
    <w:p w:rsidR="00C20057" w:rsidRPr="00C20057" w:rsidRDefault="00C20057" w:rsidP="00C20057">
      <w:pPr>
        <w:pStyle w:val="SemEspaamento"/>
        <w:jc w:val="both"/>
        <w:rPr>
          <w:rFonts w:ascii="Times New Roman" w:eastAsia="Times New Roman" w:hAnsi="Times New Roman"/>
          <w:sz w:val="24"/>
          <w:szCs w:val="24"/>
          <w:lang w:eastAsia="pt-BR"/>
        </w:rPr>
      </w:pPr>
    </w:p>
    <w:p w:rsidR="00C20057" w:rsidRPr="00C20057" w:rsidRDefault="00C20057" w:rsidP="00C20057">
      <w:pPr>
        <w:pStyle w:val="SemEspaamento"/>
        <w:jc w:val="both"/>
        <w:rPr>
          <w:rFonts w:ascii="Times New Roman" w:hAnsi="Times New Roman"/>
          <w:sz w:val="24"/>
          <w:szCs w:val="24"/>
        </w:rPr>
      </w:pPr>
      <w:r w:rsidRPr="00C20057">
        <w:rPr>
          <w:rFonts w:ascii="Times New Roman" w:hAnsi="Times New Roman"/>
          <w:b/>
          <w:sz w:val="24"/>
          <w:szCs w:val="24"/>
        </w:rPr>
        <w:t>Art. 3º</w:t>
      </w:r>
      <w:r>
        <w:rPr>
          <w:rFonts w:ascii="Times New Roman" w:hAnsi="Times New Roman"/>
          <w:sz w:val="24"/>
          <w:szCs w:val="24"/>
        </w:rPr>
        <w:t xml:space="preserve"> </w:t>
      </w:r>
      <w:r w:rsidRPr="00C20057">
        <w:rPr>
          <w:rFonts w:ascii="Times New Roman" w:hAnsi="Times New Roman"/>
          <w:sz w:val="24"/>
          <w:szCs w:val="24"/>
        </w:rPr>
        <w:t xml:space="preserve">Será taxada a publicidade realizada na fachada do imóvel para fins de identificação do estabelecimento, quanto ao percentual que exceder aos 20% permitidos no artigo 100 da Lei 6.543/2021 (Código de Postura Municipal), limitado o uso a 60%. </w:t>
      </w:r>
    </w:p>
    <w:p w:rsidR="00C20057" w:rsidRDefault="00C20057" w:rsidP="00C20057">
      <w:pPr>
        <w:pStyle w:val="SemEspaamento"/>
        <w:jc w:val="both"/>
        <w:rPr>
          <w:rFonts w:ascii="Times New Roman" w:hAnsi="Times New Roman"/>
          <w:bCs/>
          <w:sz w:val="24"/>
          <w:szCs w:val="24"/>
        </w:rPr>
      </w:pPr>
    </w:p>
    <w:p w:rsidR="00C20057" w:rsidRPr="00C20057" w:rsidRDefault="00C20057" w:rsidP="00C20057">
      <w:pPr>
        <w:pStyle w:val="SemEspaamento"/>
        <w:jc w:val="both"/>
        <w:rPr>
          <w:rFonts w:ascii="Times New Roman" w:hAnsi="Times New Roman"/>
          <w:sz w:val="24"/>
          <w:szCs w:val="24"/>
        </w:rPr>
      </w:pPr>
      <w:r w:rsidRPr="00C20057">
        <w:rPr>
          <w:rFonts w:ascii="Times New Roman" w:hAnsi="Times New Roman"/>
          <w:b/>
          <w:bCs/>
          <w:sz w:val="24"/>
          <w:szCs w:val="24"/>
        </w:rPr>
        <w:t>Parágrafo único</w:t>
      </w:r>
      <w:r w:rsidRPr="00C20057">
        <w:rPr>
          <w:rFonts w:ascii="Times New Roman" w:hAnsi="Times New Roman"/>
          <w:bCs/>
          <w:sz w:val="24"/>
          <w:szCs w:val="24"/>
        </w:rPr>
        <w:t>.</w:t>
      </w:r>
      <w:r w:rsidRPr="00C20057">
        <w:rPr>
          <w:rFonts w:ascii="Times New Roman" w:hAnsi="Times New Roman"/>
          <w:sz w:val="24"/>
          <w:szCs w:val="24"/>
        </w:rPr>
        <w:t xml:space="preserve"> Os estabelecimentos que, na data da publicação desta Lei,</w:t>
      </w:r>
      <w:r>
        <w:rPr>
          <w:rFonts w:ascii="Times New Roman" w:hAnsi="Times New Roman"/>
          <w:sz w:val="24"/>
          <w:szCs w:val="24"/>
        </w:rPr>
        <w:t xml:space="preserve"> </w:t>
      </w:r>
      <w:r w:rsidRPr="00C20057">
        <w:rPr>
          <w:rFonts w:ascii="Times New Roman" w:hAnsi="Times New Roman"/>
          <w:sz w:val="24"/>
          <w:szCs w:val="24"/>
        </w:rPr>
        <w:t>estiverem com a publicidade devidamente licenciada para o exercício 2022 poderão permanecer com a estrutura já autorizada, devendo a adequação aos limites aqui estabelecidos ser realizada no ano seguinte.</w:t>
      </w:r>
    </w:p>
    <w:p w:rsidR="00C20057" w:rsidRPr="00C20057" w:rsidRDefault="00C20057" w:rsidP="00C20057">
      <w:pPr>
        <w:pStyle w:val="SemEspaamento"/>
        <w:jc w:val="both"/>
        <w:rPr>
          <w:rFonts w:ascii="Times New Roman" w:eastAsia="Times New Roman" w:hAnsi="Times New Roman"/>
          <w:sz w:val="24"/>
          <w:szCs w:val="24"/>
          <w:lang w:eastAsia="pt-BR"/>
        </w:rPr>
      </w:pPr>
    </w:p>
    <w:p w:rsidR="00C20057" w:rsidRPr="00C20057" w:rsidRDefault="00C20057" w:rsidP="00C20057">
      <w:pPr>
        <w:pStyle w:val="SemEspaamento"/>
        <w:jc w:val="both"/>
        <w:rPr>
          <w:rFonts w:ascii="Times New Roman" w:hAnsi="Times New Roman"/>
          <w:sz w:val="24"/>
          <w:szCs w:val="24"/>
        </w:rPr>
      </w:pPr>
      <w:r w:rsidRPr="00C20057">
        <w:rPr>
          <w:rFonts w:ascii="Times New Roman" w:hAnsi="Times New Roman"/>
          <w:b/>
          <w:sz w:val="24"/>
          <w:szCs w:val="24"/>
        </w:rPr>
        <w:t>Art. 4º</w:t>
      </w:r>
      <w:r>
        <w:rPr>
          <w:rFonts w:ascii="Times New Roman" w:hAnsi="Times New Roman"/>
          <w:sz w:val="24"/>
          <w:szCs w:val="24"/>
        </w:rPr>
        <w:t xml:space="preserve"> </w:t>
      </w:r>
      <w:r w:rsidRPr="00C20057">
        <w:rPr>
          <w:rFonts w:ascii="Times New Roman" w:hAnsi="Times New Roman"/>
          <w:sz w:val="24"/>
          <w:szCs w:val="24"/>
        </w:rPr>
        <w:t>Esta lei revisa e revoga a Lei Municipal nº 4</w:t>
      </w:r>
      <w:r>
        <w:rPr>
          <w:rFonts w:ascii="Times New Roman" w:hAnsi="Times New Roman"/>
          <w:sz w:val="24"/>
          <w:szCs w:val="24"/>
        </w:rPr>
        <w:t>.</w:t>
      </w:r>
      <w:r w:rsidRPr="00C20057">
        <w:rPr>
          <w:rFonts w:ascii="Times New Roman" w:hAnsi="Times New Roman"/>
          <w:sz w:val="24"/>
          <w:szCs w:val="24"/>
        </w:rPr>
        <w:t>000 de 8 de março de 2002 e demais disposições em contrário.</w:t>
      </w:r>
    </w:p>
    <w:p w:rsidR="00C20057" w:rsidRPr="00C20057" w:rsidRDefault="00C20057" w:rsidP="00C20057">
      <w:pPr>
        <w:pStyle w:val="SemEspaamento"/>
        <w:jc w:val="both"/>
        <w:rPr>
          <w:rFonts w:ascii="Times New Roman" w:eastAsia="Times New Roman" w:hAnsi="Times New Roman"/>
          <w:sz w:val="24"/>
          <w:szCs w:val="24"/>
          <w:lang w:eastAsia="pt-BR"/>
        </w:rPr>
      </w:pPr>
    </w:p>
    <w:p w:rsidR="00C20057" w:rsidRPr="00C20057" w:rsidRDefault="00C20057" w:rsidP="00C20057">
      <w:pPr>
        <w:pStyle w:val="SemEspaamento"/>
        <w:jc w:val="both"/>
        <w:rPr>
          <w:rFonts w:ascii="Times New Roman" w:hAnsi="Times New Roman"/>
          <w:sz w:val="24"/>
          <w:szCs w:val="24"/>
        </w:rPr>
      </w:pPr>
      <w:r w:rsidRPr="00C20057">
        <w:rPr>
          <w:rFonts w:ascii="Times New Roman" w:hAnsi="Times New Roman"/>
          <w:b/>
          <w:sz w:val="24"/>
          <w:szCs w:val="24"/>
        </w:rPr>
        <w:t>Art. 5º</w:t>
      </w:r>
      <w:r>
        <w:rPr>
          <w:rFonts w:ascii="Times New Roman" w:hAnsi="Times New Roman"/>
          <w:sz w:val="24"/>
          <w:szCs w:val="24"/>
        </w:rPr>
        <w:t xml:space="preserve"> </w:t>
      </w:r>
      <w:r w:rsidRPr="00C20057">
        <w:rPr>
          <w:rFonts w:ascii="Times New Roman" w:hAnsi="Times New Roman"/>
          <w:sz w:val="24"/>
          <w:szCs w:val="24"/>
        </w:rPr>
        <w:t>Esta Lei entra em vigor na data de sua publicação.</w:t>
      </w:r>
    </w:p>
    <w:p w:rsidR="00C20057" w:rsidRDefault="00C20057" w:rsidP="00C20057">
      <w:pPr>
        <w:pStyle w:val="SemEspaamento"/>
        <w:rPr>
          <w:rFonts w:ascii="Times New Roman" w:hAnsi="Times New Roman"/>
          <w:sz w:val="24"/>
          <w:szCs w:val="24"/>
          <w:lang w:eastAsia="pt-BR"/>
        </w:rPr>
      </w:pPr>
    </w:p>
    <w:p w:rsidR="00C20057" w:rsidRPr="00C20057" w:rsidRDefault="00C20057" w:rsidP="00C20057">
      <w:pPr>
        <w:pStyle w:val="SemEspaamento"/>
        <w:rPr>
          <w:rFonts w:ascii="Times New Roman" w:hAnsi="Times New Roman"/>
          <w:sz w:val="24"/>
          <w:szCs w:val="24"/>
          <w:lang w:eastAsia="pt-BR"/>
        </w:rPr>
      </w:pPr>
    </w:p>
    <w:p w:rsidR="00C20057" w:rsidRDefault="00C20057" w:rsidP="00C20057">
      <w:pPr>
        <w:pStyle w:val="SemEspaamento"/>
        <w:jc w:val="center"/>
        <w:rPr>
          <w:rFonts w:ascii="Times New Roman" w:hAnsi="Times New Roman"/>
          <w:sz w:val="24"/>
          <w:szCs w:val="24"/>
        </w:rPr>
      </w:pPr>
      <w:r>
        <w:rPr>
          <w:rFonts w:ascii="Times New Roman" w:hAnsi="Times New Roman"/>
          <w:sz w:val="24"/>
          <w:szCs w:val="24"/>
        </w:rPr>
        <w:t xml:space="preserve">Câmara Municipal de </w:t>
      </w:r>
      <w:r w:rsidRPr="00C20057">
        <w:rPr>
          <w:rFonts w:ascii="Times New Roman" w:hAnsi="Times New Roman"/>
          <w:sz w:val="24"/>
          <w:szCs w:val="24"/>
        </w:rPr>
        <w:t xml:space="preserve">Pouso Alegre, </w:t>
      </w:r>
      <w:r>
        <w:rPr>
          <w:rFonts w:ascii="Times New Roman" w:hAnsi="Times New Roman"/>
          <w:sz w:val="24"/>
          <w:szCs w:val="24"/>
        </w:rPr>
        <w:t>18</w:t>
      </w:r>
      <w:r w:rsidRPr="00C20057">
        <w:rPr>
          <w:rFonts w:ascii="Times New Roman" w:hAnsi="Times New Roman"/>
          <w:sz w:val="24"/>
          <w:szCs w:val="24"/>
        </w:rPr>
        <w:t xml:space="preserve"> de fevereiro de 2022.</w:t>
      </w:r>
    </w:p>
    <w:p w:rsidR="00C20057" w:rsidRDefault="00C20057" w:rsidP="00C20057">
      <w:pPr>
        <w:pStyle w:val="SemEspaamento"/>
        <w:rPr>
          <w:rFonts w:ascii="Times New Roman" w:hAnsi="Times New Roman"/>
          <w:sz w:val="24"/>
          <w:szCs w:val="24"/>
        </w:rPr>
      </w:pPr>
    </w:p>
    <w:p w:rsidR="00C20057" w:rsidRDefault="00C20057" w:rsidP="00C20057">
      <w:pPr>
        <w:pStyle w:val="SemEspaamento"/>
        <w:rPr>
          <w:rFonts w:ascii="Times New Roman" w:hAnsi="Times New Roman"/>
          <w:sz w:val="24"/>
          <w:szCs w:val="24"/>
        </w:rPr>
      </w:pPr>
    </w:p>
    <w:p w:rsidR="00C20057" w:rsidRDefault="00C20057" w:rsidP="00C20057">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C20057" w:rsidTr="00C20057">
        <w:tc>
          <w:tcPr>
            <w:tcW w:w="5097" w:type="dxa"/>
          </w:tcPr>
          <w:p w:rsidR="00C20057" w:rsidRDefault="00C20057" w:rsidP="00C20057">
            <w:pPr>
              <w:pStyle w:val="SemEspaamento"/>
              <w:jc w:val="center"/>
              <w:rPr>
                <w:rFonts w:ascii="Times New Roman" w:hAnsi="Times New Roman"/>
                <w:sz w:val="24"/>
                <w:szCs w:val="24"/>
              </w:rPr>
            </w:pPr>
            <w:r>
              <w:rPr>
                <w:rFonts w:ascii="Times New Roman" w:hAnsi="Times New Roman"/>
                <w:sz w:val="24"/>
                <w:szCs w:val="24"/>
              </w:rPr>
              <w:t>Reverendo Dionísio</w:t>
            </w:r>
          </w:p>
        </w:tc>
        <w:tc>
          <w:tcPr>
            <w:tcW w:w="5098" w:type="dxa"/>
          </w:tcPr>
          <w:p w:rsidR="00C20057" w:rsidRDefault="00C20057" w:rsidP="00C20057">
            <w:pPr>
              <w:pStyle w:val="SemEspaamento"/>
              <w:jc w:val="center"/>
              <w:rPr>
                <w:rFonts w:ascii="Times New Roman" w:hAnsi="Times New Roman"/>
                <w:sz w:val="24"/>
                <w:szCs w:val="24"/>
              </w:rPr>
            </w:pPr>
            <w:r>
              <w:rPr>
                <w:rFonts w:ascii="Times New Roman" w:hAnsi="Times New Roman"/>
                <w:sz w:val="24"/>
                <w:szCs w:val="24"/>
              </w:rPr>
              <w:t>Dr. Arlindo Motta Paes</w:t>
            </w:r>
          </w:p>
        </w:tc>
      </w:tr>
      <w:tr w:rsidR="00C20057" w:rsidTr="00C20057">
        <w:tc>
          <w:tcPr>
            <w:tcW w:w="5097" w:type="dxa"/>
          </w:tcPr>
          <w:p w:rsidR="00C20057" w:rsidRPr="00C20057" w:rsidRDefault="00C20057" w:rsidP="00C20057">
            <w:pPr>
              <w:pStyle w:val="SemEspaamento"/>
              <w:jc w:val="center"/>
              <w:rPr>
                <w:rFonts w:ascii="Times New Roman" w:hAnsi="Times New Roman"/>
                <w:sz w:val="20"/>
                <w:szCs w:val="20"/>
              </w:rPr>
            </w:pPr>
            <w:r w:rsidRPr="00C20057">
              <w:rPr>
                <w:rFonts w:ascii="Times New Roman" w:hAnsi="Times New Roman"/>
                <w:sz w:val="20"/>
                <w:szCs w:val="20"/>
              </w:rPr>
              <w:t>PRESIDENTE DA MESA</w:t>
            </w:r>
          </w:p>
        </w:tc>
        <w:tc>
          <w:tcPr>
            <w:tcW w:w="5098" w:type="dxa"/>
          </w:tcPr>
          <w:p w:rsidR="00C20057" w:rsidRPr="00C20057" w:rsidRDefault="00C20057" w:rsidP="00C20057">
            <w:pPr>
              <w:pStyle w:val="SemEspaamento"/>
              <w:jc w:val="center"/>
              <w:rPr>
                <w:rFonts w:ascii="Times New Roman" w:hAnsi="Times New Roman"/>
                <w:sz w:val="20"/>
                <w:szCs w:val="20"/>
              </w:rPr>
            </w:pPr>
            <w:r w:rsidRPr="00C20057">
              <w:rPr>
                <w:rFonts w:ascii="Times New Roman" w:hAnsi="Times New Roman"/>
                <w:sz w:val="20"/>
                <w:szCs w:val="20"/>
              </w:rPr>
              <w:t>1º SECRETÁRIO</w:t>
            </w:r>
          </w:p>
        </w:tc>
      </w:tr>
    </w:tbl>
    <w:p w:rsidR="00C20057" w:rsidRPr="00C20057" w:rsidRDefault="00C20057" w:rsidP="00C20057">
      <w:pPr>
        <w:pStyle w:val="SemEspaamento"/>
        <w:rPr>
          <w:rFonts w:ascii="Times New Roman" w:hAnsi="Times New Roman"/>
          <w:sz w:val="24"/>
          <w:szCs w:val="24"/>
        </w:rPr>
      </w:pPr>
    </w:p>
    <w:p w:rsidR="00C20057" w:rsidRPr="00C20057" w:rsidRDefault="00C20057" w:rsidP="00C20057">
      <w:pPr>
        <w:pStyle w:val="SemEspaamento"/>
        <w:rPr>
          <w:rFonts w:ascii="Times New Roman" w:hAnsi="Times New Roman"/>
          <w:sz w:val="24"/>
          <w:szCs w:val="24"/>
        </w:rPr>
      </w:pPr>
    </w:p>
    <w:p w:rsidR="00C20057" w:rsidRDefault="00C20057">
      <w:pPr>
        <w:spacing w:after="160" w:line="259" w:lineRule="auto"/>
      </w:pPr>
      <w:r>
        <w:br w:type="page"/>
      </w:r>
    </w:p>
    <w:p w:rsidR="00C20057" w:rsidRPr="00C20057" w:rsidRDefault="00C20057" w:rsidP="00C20057">
      <w:pPr>
        <w:pStyle w:val="Ttulo"/>
        <w:spacing w:after="240"/>
        <w:ind w:firstLine="3118"/>
        <w:jc w:val="both"/>
        <w:rPr>
          <w:rFonts w:ascii="Times New Roman" w:hAnsi="Times New Roman"/>
          <w:b/>
          <w:bCs/>
          <w:sz w:val="24"/>
          <w:szCs w:val="24"/>
        </w:rPr>
      </w:pPr>
      <w:r w:rsidRPr="00C20057">
        <w:rPr>
          <w:rFonts w:ascii="Times New Roman" w:hAnsi="Times New Roman"/>
          <w:b/>
          <w:bCs/>
          <w:sz w:val="24"/>
          <w:szCs w:val="24"/>
        </w:rPr>
        <w:lastRenderedPageBreak/>
        <w:t>Anexo 1 – Taxa de Licença para Publicidade</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30"/>
        <w:gridCol w:w="7739"/>
        <w:gridCol w:w="1416"/>
      </w:tblGrid>
      <w:tr w:rsidR="00C20057" w:rsidRPr="00BB2D61" w:rsidTr="006D640C">
        <w:tc>
          <w:tcPr>
            <w:tcW w:w="506" w:type="pct"/>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I</w:t>
            </w:r>
          </w:p>
        </w:tc>
        <w:tc>
          <w:tcPr>
            <w:tcW w:w="3799" w:type="pct"/>
            <w:tcBorders>
              <w:top w:val="single" w:sz="8" w:space="0" w:color="000000"/>
              <w:left w:val="single" w:sz="6"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Publicidade na parte externa dos estabelecimentos, mediante letreiros luminosos ou não luminosos – por unidade – por metro quadrado – por ano ou fração.</w:t>
            </w:r>
          </w:p>
        </w:tc>
        <w:tc>
          <w:tcPr>
            <w:tcW w:w="695" w:type="pct"/>
            <w:tcBorders>
              <w:top w:val="single" w:sz="8" w:space="0" w:color="000000"/>
              <w:left w:val="single" w:sz="6"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rsidR="00C20057" w:rsidRPr="00BB2D61" w:rsidRDefault="005D69B6" w:rsidP="006D640C">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08</w:t>
            </w:r>
            <w:r w:rsidR="00C20057" w:rsidRPr="00BB2D61">
              <w:rPr>
                <w:rFonts w:ascii="Arial" w:eastAsia="Times New Roman" w:hAnsi="Arial" w:cs="Arial"/>
                <w:sz w:val="20"/>
                <w:szCs w:val="20"/>
                <w:lang w:eastAsia="pt-BR"/>
              </w:rPr>
              <w:t xml:space="preserve"> </w:t>
            </w:r>
            <w:proofErr w:type="spellStart"/>
            <w:r w:rsidR="00C20057" w:rsidRPr="00BB2D61">
              <w:rPr>
                <w:rFonts w:ascii="Arial" w:eastAsia="Times New Roman" w:hAnsi="Arial" w:cs="Arial"/>
                <w:sz w:val="20"/>
                <w:szCs w:val="20"/>
                <w:lang w:eastAsia="pt-BR"/>
              </w:rPr>
              <w:t>UFMs</w:t>
            </w:r>
            <w:proofErr w:type="spellEnd"/>
            <w:r w:rsidR="00C20057" w:rsidRPr="00BB2D61">
              <w:rPr>
                <w:rFonts w:ascii="Arial" w:eastAsia="Times New Roman" w:hAnsi="Arial" w:cs="Arial"/>
                <w:sz w:val="20"/>
                <w:szCs w:val="20"/>
                <w:lang w:eastAsia="pt-BR"/>
              </w:rPr>
              <w:t xml:space="preserve"> </w:t>
            </w:r>
          </w:p>
        </w:tc>
      </w:tr>
      <w:tr w:rsidR="00C20057" w:rsidRPr="00BB2D61" w:rsidTr="006D640C">
        <w:tc>
          <w:tcPr>
            <w:tcW w:w="506" w:type="pct"/>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II</w:t>
            </w:r>
          </w:p>
        </w:tc>
        <w:tc>
          <w:tcPr>
            <w:tcW w:w="3799" w:type="pct"/>
            <w:tcBorders>
              <w:top w:val="single" w:sz="8" w:space="0" w:color="000000"/>
              <w:left w:val="single" w:sz="6" w:space="0" w:color="000000"/>
              <w:bottom w:val="single" w:sz="8" w:space="0" w:color="000000"/>
              <w:right w:val="single" w:sz="8" w:space="0" w:color="000000"/>
            </w:tcBorders>
            <w:shd w:val="clear" w:color="auto" w:fill="auto"/>
            <w:tcMar>
              <w:top w:w="75" w:type="dxa"/>
              <w:left w:w="75" w:type="dxa"/>
              <w:bottom w:w="75" w:type="dxa"/>
              <w:right w:w="75" w:type="dxa"/>
            </w:tcMar>
            <w:vAlign w:val="center"/>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Publicidade na parte externa dos estabelecimentos, mediante desenhos, figuras ou símbolos pintados em paredes e muros - por unidade - por metro quadrado - por ano ou fração.</w:t>
            </w:r>
          </w:p>
        </w:tc>
        <w:tc>
          <w:tcPr>
            <w:tcW w:w="695" w:type="pct"/>
            <w:tcBorders>
              <w:top w:val="single" w:sz="8" w:space="0" w:color="000000"/>
              <w:left w:val="single" w:sz="6" w:space="0" w:color="000000"/>
              <w:bottom w:val="single" w:sz="8" w:space="0" w:color="000000"/>
              <w:right w:val="single" w:sz="8" w:space="0" w:color="000000"/>
            </w:tcBorders>
            <w:shd w:val="clear" w:color="auto" w:fill="auto"/>
            <w:tcMar>
              <w:top w:w="75" w:type="dxa"/>
              <w:left w:w="75" w:type="dxa"/>
              <w:bottom w:w="75" w:type="dxa"/>
              <w:right w:w="75" w:type="dxa"/>
            </w:tcMar>
            <w:vAlign w:val="center"/>
          </w:tcPr>
          <w:p w:rsidR="00C20057" w:rsidRPr="00BB2D61" w:rsidRDefault="005D69B6" w:rsidP="006D640C">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08</w:t>
            </w:r>
            <w:r w:rsidR="00C20057" w:rsidRPr="00BB2D61">
              <w:rPr>
                <w:rFonts w:ascii="Arial" w:eastAsia="Times New Roman" w:hAnsi="Arial" w:cs="Arial"/>
                <w:sz w:val="20"/>
                <w:szCs w:val="20"/>
                <w:lang w:eastAsia="pt-BR"/>
              </w:rPr>
              <w:t xml:space="preserve"> </w:t>
            </w:r>
            <w:proofErr w:type="spellStart"/>
            <w:r w:rsidR="00C20057" w:rsidRPr="00BB2D61">
              <w:rPr>
                <w:rFonts w:ascii="Arial" w:eastAsia="Times New Roman" w:hAnsi="Arial" w:cs="Arial"/>
                <w:sz w:val="20"/>
                <w:szCs w:val="20"/>
                <w:lang w:eastAsia="pt-BR"/>
              </w:rPr>
              <w:t>UFMs</w:t>
            </w:r>
            <w:proofErr w:type="spellEnd"/>
            <w:r w:rsidR="00C20057" w:rsidRPr="00BB2D61">
              <w:rPr>
                <w:rFonts w:ascii="Arial" w:eastAsia="Times New Roman" w:hAnsi="Arial" w:cs="Arial"/>
                <w:sz w:val="20"/>
                <w:szCs w:val="20"/>
                <w:lang w:eastAsia="pt-BR"/>
              </w:rPr>
              <w:t xml:space="preserve"> </w:t>
            </w:r>
          </w:p>
        </w:tc>
      </w:tr>
      <w:tr w:rsidR="00C20057" w:rsidRPr="00BB2D61" w:rsidTr="006D640C">
        <w:tc>
          <w:tcPr>
            <w:tcW w:w="506" w:type="pct"/>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III</w:t>
            </w:r>
          </w:p>
        </w:tc>
        <w:tc>
          <w:tcPr>
            <w:tcW w:w="3799" w:type="pct"/>
            <w:tcBorders>
              <w:top w:val="single" w:sz="8" w:space="0" w:color="000000"/>
              <w:left w:val="single" w:sz="6" w:space="0" w:color="000000"/>
              <w:bottom w:val="single" w:sz="8" w:space="0" w:color="000000"/>
              <w:right w:val="single" w:sz="8" w:space="0" w:color="000000"/>
            </w:tcBorders>
            <w:shd w:val="clear" w:color="auto" w:fill="auto"/>
            <w:tcMar>
              <w:top w:w="75" w:type="dxa"/>
              <w:left w:w="75" w:type="dxa"/>
              <w:bottom w:w="75" w:type="dxa"/>
              <w:right w:w="75" w:type="dxa"/>
            </w:tcMar>
            <w:vAlign w:val="center"/>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Publicidade em abrigos de ônibus - por unidade - por metro quadrado - por ano ou fração.</w:t>
            </w:r>
          </w:p>
        </w:tc>
        <w:tc>
          <w:tcPr>
            <w:tcW w:w="695" w:type="pct"/>
            <w:tcBorders>
              <w:top w:val="single" w:sz="8" w:space="0" w:color="000000"/>
              <w:left w:val="single" w:sz="6" w:space="0" w:color="000000"/>
              <w:bottom w:val="single" w:sz="8" w:space="0" w:color="000000"/>
              <w:right w:val="single" w:sz="8" w:space="0" w:color="000000"/>
            </w:tcBorders>
            <w:shd w:val="clear" w:color="auto" w:fill="auto"/>
            <w:tcMar>
              <w:top w:w="75" w:type="dxa"/>
              <w:left w:w="75" w:type="dxa"/>
              <w:bottom w:w="75" w:type="dxa"/>
              <w:right w:w="75" w:type="dxa"/>
            </w:tcMar>
            <w:vAlign w:val="center"/>
          </w:tcPr>
          <w:p w:rsidR="00C20057" w:rsidRPr="00BB2D61" w:rsidRDefault="005D69B6" w:rsidP="006D640C">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08</w:t>
            </w:r>
            <w:r w:rsidR="00C20057" w:rsidRPr="00BB2D61">
              <w:rPr>
                <w:rFonts w:ascii="Arial" w:eastAsia="Times New Roman" w:hAnsi="Arial" w:cs="Arial"/>
                <w:sz w:val="20"/>
                <w:szCs w:val="20"/>
                <w:lang w:eastAsia="pt-BR"/>
              </w:rPr>
              <w:t xml:space="preserve"> </w:t>
            </w:r>
            <w:proofErr w:type="spellStart"/>
            <w:r w:rsidR="00C20057" w:rsidRPr="00BB2D61">
              <w:rPr>
                <w:rFonts w:ascii="Arial" w:eastAsia="Times New Roman" w:hAnsi="Arial" w:cs="Arial"/>
                <w:sz w:val="20"/>
                <w:szCs w:val="20"/>
                <w:lang w:eastAsia="pt-BR"/>
              </w:rPr>
              <w:t>UFMs</w:t>
            </w:r>
            <w:proofErr w:type="spellEnd"/>
            <w:r w:rsidR="00C20057" w:rsidRPr="00BB2D61">
              <w:rPr>
                <w:rFonts w:ascii="Arial" w:eastAsia="Times New Roman" w:hAnsi="Arial" w:cs="Arial"/>
                <w:sz w:val="20"/>
                <w:szCs w:val="20"/>
                <w:lang w:eastAsia="pt-BR"/>
              </w:rPr>
              <w:t xml:space="preserve"> </w:t>
            </w:r>
          </w:p>
        </w:tc>
      </w:tr>
      <w:tr w:rsidR="00C20057" w:rsidRPr="00BB2D61" w:rsidTr="006D640C">
        <w:tc>
          <w:tcPr>
            <w:tcW w:w="506" w:type="pct"/>
            <w:tcBorders>
              <w:top w:val="single" w:sz="6"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IV</w:t>
            </w:r>
          </w:p>
        </w:tc>
        <w:tc>
          <w:tcPr>
            <w:tcW w:w="3799" w:type="pct"/>
            <w:tcBorders>
              <w:top w:val="single" w:sz="6" w:space="0" w:color="000000"/>
              <w:left w:val="single" w:sz="6"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Publicidade com faixas de tecidos ou material semelhante, colocados em logradouros públicos - por unidade - por ano ou fração.</w:t>
            </w:r>
          </w:p>
        </w:tc>
        <w:tc>
          <w:tcPr>
            <w:tcW w:w="695" w:type="pct"/>
            <w:tcBorders>
              <w:top w:val="single" w:sz="6" w:space="0" w:color="000000"/>
              <w:left w:val="single" w:sz="6"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rsidR="00C20057" w:rsidRPr="00BB2D61" w:rsidRDefault="005D69B6" w:rsidP="006D640C">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08</w:t>
            </w:r>
            <w:r w:rsidR="00C20057" w:rsidRPr="00BB2D61">
              <w:rPr>
                <w:rFonts w:ascii="Arial" w:eastAsia="Times New Roman" w:hAnsi="Arial" w:cs="Arial"/>
                <w:sz w:val="20"/>
                <w:szCs w:val="20"/>
                <w:lang w:eastAsia="pt-BR"/>
              </w:rPr>
              <w:t xml:space="preserve"> </w:t>
            </w:r>
            <w:proofErr w:type="spellStart"/>
            <w:r w:rsidR="00C20057" w:rsidRPr="00BB2D61">
              <w:rPr>
                <w:rFonts w:ascii="Arial" w:eastAsia="Times New Roman" w:hAnsi="Arial" w:cs="Arial"/>
                <w:sz w:val="20"/>
                <w:szCs w:val="20"/>
                <w:lang w:eastAsia="pt-BR"/>
              </w:rPr>
              <w:t>UFMs</w:t>
            </w:r>
            <w:proofErr w:type="spellEnd"/>
            <w:r w:rsidR="00C20057" w:rsidRPr="00BB2D61">
              <w:rPr>
                <w:rFonts w:ascii="Arial" w:eastAsia="Times New Roman" w:hAnsi="Arial" w:cs="Arial"/>
                <w:sz w:val="20"/>
                <w:szCs w:val="20"/>
                <w:lang w:eastAsia="pt-BR"/>
              </w:rPr>
              <w:t xml:space="preserve"> </w:t>
            </w:r>
          </w:p>
        </w:tc>
      </w:tr>
      <w:tr w:rsidR="00C20057" w:rsidRPr="00BB2D61" w:rsidTr="006D640C">
        <w:tc>
          <w:tcPr>
            <w:tcW w:w="506" w:type="pct"/>
            <w:tcBorders>
              <w:top w:val="single" w:sz="6"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V</w:t>
            </w:r>
          </w:p>
        </w:tc>
        <w:tc>
          <w:tcPr>
            <w:tcW w:w="3799" w:type="pct"/>
            <w:tcBorders>
              <w:top w:val="single" w:sz="6" w:space="0" w:color="000000"/>
              <w:left w:val="single" w:sz="6"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 xml:space="preserve">Publicidade interna e externa no próprio estabelecimento, utilizando-se de projeção de </w:t>
            </w:r>
            <w:proofErr w:type="spellStart"/>
            <w:r w:rsidRPr="00BB2D61">
              <w:rPr>
                <w:rFonts w:ascii="Arial" w:eastAsia="Times New Roman" w:hAnsi="Arial" w:cs="Arial"/>
                <w:sz w:val="20"/>
                <w:szCs w:val="20"/>
                <w:lang w:eastAsia="pt-BR"/>
              </w:rPr>
              <w:t>filme</w:t>
            </w:r>
            <w:proofErr w:type="spellEnd"/>
            <w:r w:rsidRPr="00BB2D61">
              <w:rPr>
                <w:rFonts w:ascii="Arial" w:eastAsia="Times New Roman" w:hAnsi="Arial" w:cs="Arial"/>
                <w:sz w:val="20"/>
                <w:szCs w:val="20"/>
                <w:lang w:eastAsia="pt-BR"/>
              </w:rPr>
              <w:t>, por mês ou fração.</w:t>
            </w:r>
          </w:p>
        </w:tc>
        <w:tc>
          <w:tcPr>
            <w:tcW w:w="695" w:type="pct"/>
            <w:tcBorders>
              <w:top w:val="single" w:sz="6" w:space="0" w:color="000000"/>
              <w:left w:val="single" w:sz="6" w:space="0" w:color="000000"/>
              <w:bottom w:val="single" w:sz="8" w:space="0" w:color="000000"/>
              <w:right w:val="single" w:sz="8" w:space="0" w:color="000000"/>
            </w:tcBorders>
            <w:shd w:val="clear" w:color="auto" w:fill="auto"/>
            <w:tcMar>
              <w:top w:w="75" w:type="dxa"/>
              <w:left w:w="75" w:type="dxa"/>
              <w:bottom w:w="75" w:type="dxa"/>
              <w:right w:w="75" w:type="dxa"/>
            </w:tcMar>
            <w:vAlign w:val="center"/>
            <w:hideMark/>
          </w:tcPr>
          <w:p w:rsidR="00C20057" w:rsidRPr="00BB2D61" w:rsidRDefault="00C20057" w:rsidP="005D69B6">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 xml:space="preserve">12 </w:t>
            </w:r>
            <w:proofErr w:type="spellStart"/>
            <w:r w:rsidRPr="00BB2D61">
              <w:rPr>
                <w:rFonts w:ascii="Arial" w:eastAsia="Times New Roman" w:hAnsi="Arial" w:cs="Arial"/>
                <w:sz w:val="20"/>
                <w:szCs w:val="20"/>
                <w:lang w:eastAsia="pt-BR"/>
              </w:rPr>
              <w:t>UFMs</w:t>
            </w:r>
            <w:proofErr w:type="spellEnd"/>
            <w:r w:rsidRPr="00BB2D61">
              <w:rPr>
                <w:rFonts w:ascii="Arial" w:eastAsia="Times New Roman" w:hAnsi="Arial" w:cs="Arial"/>
                <w:sz w:val="20"/>
                <w:szCs w:val="20"/>
                <w:lang w:eastAsia="pt-BR"/>
              </w:rPr>
              <w:t xml:space="preserve"> </w:t>
            </w:r>
          </w:p>
        </w:tc>
      </w:tr>
      <w:tr w:rsidR="00C20057" w:rsidRPr="00BB2D61" w:rsidTr="006D640C">
        <w:tc>
          <w:tcPr>
            <w:tcW w:w="506" w:type="pct"/>
            <w:tcBorders>
              <w:top w:val="single" w:sz="6"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VI</w:t>
            </w:r>
          </w:p>
        </w:tc>
        <w:tc>
          <w:tcPr>
            <w:tcW w:w="3799"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Publicidade em veículos, com essa finalidade exclusiva - por veículo - por ano ou fração.</w:t>
            </w:r>
          </w:p>
        </w:tc>
        <w:tc>
          <w:tcPr>
            <w:tcW w:w="695"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5D69B6">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 xml:space="preserve">42 </w:t>
            </w:r>
            <w:proofErr w:type="spellStart"/>
            <w:r w:rsidRPr="00BB2D61">
              <w:rPr>
                <w:rFonts w:ascii="Arial" w:eastAsia="Times New Roman" w:hAnsi="Arial" w:cs="Arial"/>
                <w:sz w:val="20"/>
                <w:szCs w:val="20"/>
                <w:lang w:eastAsia="pt-BR"/>
              </w:rPr>
              <w:t>UFMs</w:t>
            </w:r>
            <w:proofErr w:type="spellEnd"/>
            <w:r w:rsidRPr="00BB2D61">
              <w:rPr>
                <w:rFonts w:ascii="Arial" w:eastAsia="Times New Roman" w:hAnsi="Arial" w:cs="Arial"/>
                <w:sz w:val="20"/>
                <w:szCs w:val="20"/>
                <w:lang w:eastAsia="pt-BR"/>
              </w:rPr>
              <w:t xml:space="preserve"> </w:t>
            </w:r>
          </w:p>
        </w:tc>
      </w:tr>
      <w:tr w:rsidR="00C20057" w:rsidRPr="00BB2D61" w:rsidTr="006D640C">
        <w:tc>
          <w:tcPr>
            <w:tcW w:w="506" w:type="pct"/>
            <w:tcBorders>
              <w:top w:val="single" w:sz="6"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VII</w:t>
            </w:r>
          </w:p>
        </w:tc>
        <w:tc>
          <w:tcPr>
            <w:tcW w:w="3799"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Publicidade em veículos utilizados para outras finalidades, notadamente ônibus - por veículo - por ano ou fração.</w:t>
            </w:r>
          </w:p>
        </w:tc>
        <w:tc>
          <w:tcPr>
            <w:tcW w:w="695"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 xml:space="preserve">18 </w:t>
            </w:r>
            <w:proofErr w:type="spellStart"/>
            <w:r w:rsidRPr="00BB2D61">
              <w:rPr>
                <w:rFonts w:ascii="Arial" w:eastAsia="Times New Roman" w:hAnsi="Arial" w:cs="Arial"/>
                <w:sz w:val="20"/>
                <w:szCs w:val="20"/>
                <w:lang w:eastAsia="pt-BR"/>
              </w:rPr>
              <w:t>UFMs</w:t>
            </w:r>
            <w:proofErr w:type="spellEnd"/>
            <w:r w:rsidRPr="00BB2D61">
              <w:rPr>
                <w:rFonts w:ascii="Arial" w:eastAsia="Times New Roman" w:hAnsi="Arial" w:cs="Arial"/>
                <w:sz w:val="20"/>
                <w:szCs w:val="20"/>
                <w:lang w:eastAsia="pt-BR"/>
              </w:rPr>
              <w:t xml:space="preserve"> </w:t>
            </w:r>
          </w:p>
        </w:tc>
      </w:tr>
      <w:tr w:rsidR="00C20057" w:rsidRPr="00BB2D61" w:rsidTr="006D640C">
        <w:trPr>
          <w:trHeight w:val="625"/>
        </w:trPr>
        <w:tc>
          <w:tcPr>
            <w:tcW w:w="506" w:type="pct"/>
            <w:tcBorders>
              <w:top w:val="single" w:sz="6"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VIII</w:t>
            </w:r>
          </w:p>
        </w:tc>
        <w:tc>
          <w:tcPr>
            <w:tcW w:w="3799"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Publicidade por meio de projeções de filmes, dispositivos ou similares, em vias/logradouros públicos - por mês ou fração.</w:t>
            </w:r>
          </w:p>
        </w:tc>
        <w:tc>
          <w:tcPr>
            <w:tcW w:w="695"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 xml:space="preserve">18 </w:t>
            </w:r>
            <w:proofErr w:type="spellStart"/>
            <w:r w:rsidRPr="00BB2D61">
              <w:rPr>
                <w:rFonts w:ascii="Arial" w:eastAsia="Times New Roman" w:hAnsi="Arial" w:cs="Arial"/>
                <w:sz w:val="20"/>
                <w:szCs w:val="20"/>
                <w:lang w:eastAsia="pt-BR"/>
              </w:rPr>
              <w:t>UFMs</w:t>
            </w:r>
            <w:proofErr w:type="spellEnd"/>
            <w:r w:rsidRPr="00BB2D61">
              <w:rPr>
                <w:rFonts w:ascii="Arial" w:eastAsia="Times New Roman" w:hAnsi="Arial" w:cs="Arial"/>
                <w:sz w:val="20"/>
                <w:szCs w:val="20"/>
                <w:lang w:eastAsia="pt-BR"/>
              </w:rPr>
              <w:t xml:space="preserve"> </w:t>
            </w:r>
          </w:p>
        </w:tc>
      </w:tr>
      <w:tr w:rsidR="00C20057" w:rsidRPr="00BB2D61" w:rsidTr="006D640C">
        <w:tc>
          <w:tcPr>
            <w:tcW w:w="506" w:type="pct"/>
            <w:tcBorders>
              <w:top w:val="single" w:sz="6"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IX</w:t>
            </w:r>
          </w:p>
        </w:tc>
        <w:tc>
          <w:tcPr>
            <w:tcW w:w="3799"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583399">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Publicidade de qualquer tamanho confeccionada em gráficas, computadores ou similares, quando distribuída em vias públicas - </w:t>
            </w:r>
            <w:r w:rsidRPr="00BB2D61">
              <w:rPr>
                <w:rFonts w:ascii="Arial" w:eastAsia="Times New Roman" w:hAnsi="Arial" w:cs="Arial"/>
                <w:bCs/>
                <w:sz w:val="20"/>
                <w:szCs w:val="20"/>
                <w:lang w:eastAsia="pt-BR"/>
              </w:rPr>
              <w:t>em quantidade de 1</w:t>
            </w:r>
            <w:r w:rsidR="00583399">
              <w:rPr>
                <w:rFonts w:ascii="Arial" w:eastAsia="Times New Roman" w:hAnsi="Arial" w:cs="Arial"/>
                <w:bCs/>
                <w:sz w:val="20"/>
                <w:szCs w:val="20"/>
                <w:lang w:eastAsia="pt-BR"/>
              </w:rPr>
              <w:t>0</w:t>
            </w:r>
            <w:r w:rsidRPr="00BB2D61">
              <w:rPr>
                <w:rFonts w:ascii="Arial" w:eastAsia="Times New Roman" w:hAnsi="Arial" w:cs="Arial"/>
                <w:bCs/>
                <w:sz w:val="20"/>
                <w:szCs w:val="20"/>
                <w:lang w:eastAsia="pt-BR"/>
              </w:rPr>
              <w:t xml:space="preserve"> (</w:t>
            </w:r>
            <w:r w:rsidR="00583399">
              <w:rPr>
                <w:rFonts w:ascii="Arial" w:eastAsia="Times New Roman" w:hAnsi="Arial" w:cs="Arial"/>
                <w:bCs/>
                <w:sz w:val="20"/>
                <w:szCs w:val="20"/>
                <w:lang w:eastAsia="pt-BR"/>
              </w:rPr>
              <w:t>dez</w:t>
            </w:r>
            <w:r w:rsidRPr="00BB2D61">
              <w:rPr>
                <w:rFonts w:ascii="Arial" w:eastAsia="Times New Roman" w:hAnsi="Arial" w:cs="Arial"/>
                <w:bCs/>
                <w:sz w:val="20"/>
                <w:szCs w:val="20"/>
                <w:lang w:eastAsia="pt-BR"/>
              </w:rPr>
              <w:t>) milheiro</w:t>
            </w:r>
            <w:r w:rsidR="00583399">
              <w:rPr>
                <w:rFonts w:ascii="Arial" w:eastAsia="Times New Roman" w:hAnsi="Arial" w:cs="Arial"/>
                <w:bCs/>
                <w:sz w:val="20"/>
                <w:szCs w:val="20"/>
                <w:lang w:eastAsia="pt-BR"/>
              </w:rPr>
              <w:t>s</w:t>
            </w:r>
            <w:r w:rsidRPr="00BB2D61">
              <w:rPr>
                <w:rFonts w:ascii="Arial" w:eastAsia="Times New Roman" w:hAnsi="Arial" w:cs="Arial"/>
                <w:bCs/>
                <w:sz w:val="20"/>
                <w:szCs w:val="20"/>
                <w:lang w:eastAsia="pt-BR"/>
              </w:rPr>
              <w:t xml:space="preserve"> ou</w:t>
            </w:r>
            <w:r w:rsidRPr="00BB2D61">
              <w:rPr>
                <w:rFonts w:ascii="Arial" w:eastAsia="Times New Roman" w:hAnsi="Arial" w:cs="Arial"/>
                <w:sz w:val="20"/>
                <w:szCs w:val="20"/>
                <w:lang w:eastAsia="pt-BR"/>
              </w:rPr>
              <w:t> </w:t>
            </w:r>
            <w:r w:rsidRPr="00BB2D61">
              <w:rPr>
                <w:rFonts w:ascii="Arial" w:eastAsia="Times New Roman" w:hAnsi="Arial" w:cs="Arial"/>
                <w:bCs/>
                <w:sz w:val="20"/>
                <w:szCs w:val="20"/>
                <w:lang w:eastAsia="pt-BR"/>
              </w:rPr>
              <w:t>fração.</w:t>
            </w:r>
          </w:p>
        </w:tc>
        <w:tc>
          <w:tcPr>
            <w:tcW w:w="695"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 xml:space="preserve">05 </w:t>
            </w:r>
            <w:proofErr w:type="spellStart"/>
            <w:r w:rsidRPr="00BB2D61">
              <w:rPr>
                <w:rFonts w:ascii="Arial" w:eastAsia="Times New Roman" w:hAnsi="Arial" w:cs="Arial"/>
                <w:sz w:val="20"/>
                <w:szCs w:val="20"/>
                <w:lang w:eastAsia="pt-BR"/>
              </w:rPr>
              <w:t>UFMs</w:t>
            </w:r>
            <w:proofErr w:type="spellEnd"/>
          </w:p>
        </w:tc>
      </w:tr>
      <w:tr w:rsidR="00C20057" w:rsidRPr="00BB2D61" w:rsidTr="006D640C">
        <w:tc>
          <w:tcPr>
            <w:tcW w:w="506" w:type="pct"/>
            <w:tcBorders>
              <w:top w:val="single" w:sz="6"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X</w:t>
            </w:r>
          </w:p>
        </w:tc>
        <w:tc>
          <w:tcPr>
            <w:tcW w:w="3799"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Outdoors - por ponto fixo ou móvel - por ano ou fração.</w:t>
            </w:r>
          </w:p>
        </w:tc>
        <w:tc>
          <w:tcPr>
            <w:tcW w:w="695"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 xml:space="preserve">90 </w:t>
            </w:r>
            <w:proofErr w:type="spellStart"/>
            <w:r w:rsidRPr="00BB2D61">
              <w:rPr>
                <w:rFonts w:ascii="Arial" w:eastAsia="Times New Roman" w:hAnsi="Arial" w:cs="Arial"/>
                <w:sz w:val="20"/>
                <w:szCs w:val="20"/>
                <w:lang w:eastAsia="pt-BR"/>
              </w:rPr>
              <w:t>UFMs</w:t>
            </w:r>
            <w:proofErr w:type="spellEnd"/>
          </w:p>
        </w:tc>
      </w:tr>
      <w:tr w:rsidR="00C20057" w:rsidRPr="00BB2D61" w:rsidTr="006D640C">
        <w:tc>
          <w:tcPr>
            <w:tcW w:w="506" w:type="pct"/>
            <w:tcBorders>
              <w:top w:val="single" w:sz="6"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XI</w:t>
            </w:r>
          </w:p>
        </w:tc>
        <w:tc>
          <w:tcPr>
            <w:tcW w:w="3799"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Tela luminosa de publicidade em movimento contínuo, com um ou mais anúncios iguais ou diferentes - por unidade - por ano ou fração.</w:t>
            </w:r>
          </w:p>
        </w:tc>
        <w:tc>
          <w:tcPr>
            <w:tcW w:w="695"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 xml:space="preserve">180 </w:t>
            </w:r>
            <w:proofErr w:type="spellStart"/>
            <w:r w:rsidRPr="00BB2D61">
              <w:rPr>
                <w:rFonts w:ascii="Arial" w:eastAsia="Times New Roman" w:hAnsi="Arial" w:cs="Arial"/>
                <w:sz w:val="20"/>
                <w:szCs w:val="20"/>
                <w:lang w:eastAsia="pt-BR"/>
              </w:rPr>
              <w:t>UFMs</w:t>
            </w:r>
            <w:proofErr w:type="spellEnd"/>
          </w:p>
        </w:tc>
      </w:tr>
      <w:tr w:rsidR="00C20057" w:rsidRPr="00BB2D61" w:rsidTr="006D640C">
        <w:tc>
          <w:tcPr>
            <w:tcW w:w="506" w:type="pct"/>
            <w:tcBorders>
              <w:top w:val="single" w:sz="6"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XII</w:t>
            </w:r>
          </w:p>
        </w:tc>
        <w:tc>
          <w:tcPr>
            <w:tcW w:w="3799"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CC6782">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Painéis de qualquer dimensão</w:t>
            </w:r>
            <w:r w:rsidR="00200DDB">
              <w:rPr>
                <w:rFonts w:ascii="Arial" w:eastAsia="Times New Roman" w:hAnsi="Arial" w:cs="Arial"/>
                <w:sz w:val="20"/>
                <w:szCs w:val="20"/>
                <w:lang w:eastAsia="pt-BR"/>
              </w:rPr>
              <w:t xml:space="preserve"> superior a 1,5 m</w:t>
            </w:r>
            <w:r w:rsidR="00CC6782">
              <w:rPr>
                <w:rFonts w:ascii="Arial" w:eastAsia="Times New Roman" w:hAnsi="Arial" w:cs="Arial"/>
                <w:sz w:val="20"/>
                <w:szCs w:val="20"/>
                <w:lang w:eastAsia="pt-BR"/>
              </w:rPr>
              <w:t>²</w:t>
            </w:r>
            <w:bookmarkStart w:id="0" w:name="_GoBack"/>
            <w:bookmarkEnd w:id="0"/>
            <w:r w:rsidRPr="00BB2D61">
              <w:rPr>
                <w:rFonts w:ascii="Arial" w:eastAsia="Times New Roman" w:hAnsi="Arial" w:cs="Arial"/>
                <w:sz w:val="20"/>
                <w:szCs w:val="20"/>
                <w:lang w:eastAsia="pt-BR"/>
              </w:rPr>
              <w:t xml:space="preserve"> - </w:t>
            </w:r>
            <w:r w:rsidR="00200DDB">
              <w:rPr>
                <w:rFonts w:ascii="Arial" w:eastAsia="Times New Roman" w:hAnsi="Arial" w:cs="Arial"/>
                <w:sz w:val="20"/>
                <w:szCs w:val="20"/>
                <w:lang w:eastAsia="pt-BR"/>
              </w:rPr>
              <w:t xml:space="preserve">por unidade </w:t>
            </w:r>
            <w:r w:rsidRPr="00BB2D61">
              <w:rPr>
                <w:rFonts w:ascii="Arial" w:eastAsia="Times New Roman" w:hAnsi="Arial" w:cs="Arial"/>
                <w:sz w:val="20"/>
                <w:szCs w:val="20"/>
                <w:lang w:eastAsia="pt-BR"/>
              </w:rPr>
              <w:t>- por ano.</w:t>
            </w:r>
          </w:p>
        </w:tc>
        <w:tc>
          <w:tcPr>
            <w:tcW w:w="695"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 xml:space="preserve">10 </w:t>
            </w:r>
            <w:proofErr w:type="spellStart"/>
            <w:r w:rsidRPr="00BB2D61">
              <w:rPr>
                <w:rFonts w:ascii="Arial" w:eastAsia="Times New Roman" w:hAnsi="Arial" w:cs="Arial"/>
                <w:sz w:val="20"/>
                <w:szCs w:val="20"/>
                <w:lang w:eastAsia="pt-BR"/>
              </w:rPr>
              <w:t>UFMs</w:t>
            </w:r>
            <w:proofErr w:type="spellEnd"/>
          </w:p>
        </w:tc>
      </w:tr>
      <w:tr w:rsidR="00C20057" w:rsidRPr="00BB2D61" w:rsidTr="006D640C">
        <w:tc>
          <w:tcPr>
            <w:tcW w:w="506" w:type="pct"/>
            <w:tcBorders>
              <w:top w:val="single" w:sz="6"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XIII</w:t>
            </w:r>
          </w:p>
        </w:tc>
        <w:tc>
          <w:tcPr>
            <w:tcW w:w="3799"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Nos casos não especificados, a taxa de publicidade terá o valor mínimo de:</w:t>
            </w:r>
          </w:p>
        </w:tc>
        <w:tc>
          <w:tcPr>
            <w:tcW w:w="695" w:type="pct"/>
            <w:tcBorders>
              <w:top w:val="single" w:sz="6" w:space="0" w:color="000000"/>
              <w:left w:val="single" w:sz="6"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C20057" w:rsidRPr="00BB2D61" w:rsidRDefault="00C20057" w:rsidP="006D640C">
            <w:pPr>
              <w:spacing w:after="0" w:line="240" w:lineRule="auto"/>
              <w:jc w:val="both"/>
              <w:rPr>
                <w:rFonts w:ascii="Arial" w:eastAsia="Times New Roman" w:hAnsi="Arial" w:cs="Arial"/>
                <w:sz w:val="20"/>
                <w:szCs w:val="20"/>
                <w:lang w:eastAsia="pt-BR"/>
              </w:rPr>
            </w:pPr>
            <w:r w:rsidRPr="00BB2D61">
              <w:rPr>
                <w:rFonts w:ascii="Arial" w:eastAsia="Times New Roman" w:hAnsi="Arial" w:cs="Arial"/>
                <w:sz w:val="20"/>
                <w:szCs w:val="20"/>
                <w:lang w:eastAsia="pt-BR"/>
              </w:rPr>
              <w:t xml:space="preserve">03 </w:t>
            </w:r>
            <w:proofErr w:type="spellStart"/>
            <w:r w:rsidRPr="00BB2D61">
              <w:rPr>
                <w:rFonts w:ascii="Arial" w:eastAsia="Times New Roman" w:hAnsi="Arial" w:cs="Arial"/>
                <w:sz w:val="20"/>
                <w:szCs w:val="20"/>
                <w:lang w:eastAsia="pt-BR"/>
              </w:rPr>
              <w:t>UFMs</w:t>
            </w:r>
            <w:proofErr w:type="spellEnd"/>
          </w:p>
        </w:tc>
      </w:tr>
    </w:tbl>
    <w:p w:rsidR="00C20057" w:rsidRPr="00BB2D61" w:rsidRDefault="00C20057" w:rsidP="00C20057">
      <w:pPr>
        <w:ind w:firstLine="3118"/>
        <w:jc w:val="both"/>
        <w:rPr>
          <w:rFonts w:ascii="Arial" w:hAnsi="Arial" w:cs="Arial"/>
          <w:sz w:val="20"/>
          <w:szCs w:val="20"/>
        </w:rPr>
      </w:pPr>
    </w:p>
    <w:p w:rsidR="00DD11C3" w:rsidRDefault="00DD11C3"/>
    <w:sectPr w:rsidR="00DD11C3" w:rsidSect="00C20057">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633AF"/>
    <w:multiLevelType w:val="multilevel"/>
    <w:tmpl w:val="1E76DC3A"/>
    <w:lvl w:ilvl="0">
      <w:start w:val="1"/>
      <w:numFmt w:val="upperRoman"/>
      <w:lvlText w:val="TÍTULO %1."/>
      <w:lvlJc w:val="center"/>
      <w:pPr>
        <w:ind w:left="648" w:hanging="360"/>
      </w:pPr>
      <w:rPr>
        <w:rFonts w:hint="default"/>
      </w:rPr>
    </w:lvl>
    <w:lvl w:ilvl="1">
      <w:start w:val="1"/>
      <w:numFmt w:val="upperRoman"/>
      <w:lvlText w:val="%2CAPÍTULO %1"/>
      <w:lvlJc w:val="center"/>
      <w:pPr>
        <w:ind w:left="0" w:firstLine="288"/>
      </w:pPr>
      <w:rPr>
        <w:rFonts w:hint="default"/>
      </w:rPr>
    </w:lvl>
    <w:lvl w:ilvl="2">
      <w:start w:val="1"/>
      <w:numFmt w:val="upperRoman"/>
      <w:lvlText w:val="SEÇÃO %3"/>
      <w:lvlJc w:val="center"/>
      <w:pPr>
        <w:ind w:left="720" w:hanging="432"/>
      </w:pPr>
      <w:rPr>
        <w:rFonts w:hint="default"/>
        <w:b/>
        <w:bCs/>
      </w:rPr>
    </w:lvl>
    <w:lvl w:ilvl="3">
      <w:start w:val="1"/>
      <w:numFmt w:val="ordinal"/>
      <w:pStyle w:val="Ttulo5"/>
      <w:lvlText w:val="Art. %4"/>
      <w:lvlJc w:val="right"/>
      <w:pPr>
        <w:ind w:left="864" w:hanging="144"/>
      </w:pPr>
      <w:rPr>
        <w:rFonts w:hint="default"/>
        <w:b/>
        <w:bCs/>
      </w:rPr>
    </w:lvl>
    <w:lvl w:ilvl="4">
      <w:start w:val="1"/>
      <w:numFmt w:val="ordinal"/>
      <w:lvlText w:val=" § %5"/>
      <w:lvlJc w:val="left"/>
      <w:pPr>
        <w:ind w:left="1008" w:hanging="432"/>
      </w:pPr>
      <w:rPr>
        <w:rFonts w:hint="default"/>
        <w:b/>
        <w:bCs/>
      </w:rPr>
    </w:lvl>
    <w:lvl w:ilvl="5">
      <w:start w:val="1"/>
      <w:numFmt w:val="upperRoman"/>
      <w:lvlText w:val="%6"/>
      <w:lvlJc w:val="left"/>
      <w:pPr>
        <w:ind w:left="1152" w:hanging="432"/>
      </w:pPr>
      <w:rPr>
        <w:rFonts w:hint="default"/>
        <w:b/>
        <w:bCs w:val="0"/>
      </w:rPr>
    </w:lvl>
    <w:lvl w:ilvl="6">
      <w:start w:val="1"/>
      <w:numFmt w:val="lowerLetter"/>
      <w:lvlText w:val="%7)"/>
      <w:lvlJc w:val="right"/>
      <w:pPr>
        <w:ind w:left="1296" w:hanging="288"/>
      </w:pPr>
      <w:rPr>
        <w:rFonts w:hint="default"/>
      </w:rPr>
    </w:lvl>
    <w:lvl w:ilvl="7">
      <w:start w:val="1"/>
      <w:numFmt w:val="lowerRoman"/>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57"/>
    <w:rsid w:val="0012333D"/>
    <w:rsid w:val="00200DDB"/>
    <w:rsid w:val="00583399"/>
    <w:rsid w:val="005D69B6"/>
    <w:rsid w:val="00C20057"/>
    <w:rsid w:val="00CC6782"/>
    <w:rsid w:val="00DD11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96347-4E6F-4426-A843-223EFA39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057"/>
    <w:pPr>
      <w:spacing w:after="200" w:line="276" w:lineRule="auto"/>
    </w:pPr>
    <w:rPr>
      <w:rFonts w:ascii="Calibri" w:eastAsia="Calibri" w:hAnsi="Calibri" w:cs="Times New Roman"/>
    </w:rPr>
  </w:style>
  <w:style w:type="paragraph" w:styleId="Ttulo5">
    <w:name w:val="heading 5"/>
    <w:basedOn w:val="Normal"/>
    <w:next w:val="Normal"/>
    <w:link w:val="Ttulo5Char"/>
    <w:autoRedefine/>
    <w:uiPriority w:val="9"/>
    <w:unhideWhenUsed/>
    <w:qFormat/>
    <w:rsid w:val="00C20057"/>
    <w:pPr>
      <w:widowControl w:val="0"/>
      <w:numPr>
        <w:ilvl w:val="3"/>
        <w:numId w:val="1"/>
      </w:numPr>
      <w:autoSpaceDE w:val="0"/>
      <w:autoSpaceDN w:val="0"/>
      <w:adjustRightInd w:val="0"/>
      <w:spacing w:before="120" w:after="240" w:line="240" w:lineRule="auto"/>
      <w:contextualSpacing/>
      <w:jc w:val="both"/>
      <w:outlineLvl w:val="4"/>
    </w:pPr>
    <w:rPr>
      <w:rFonts w:ascii="Arial" w:eastAsia="Times New Roman" w:hAnsi="Arial" w:cs="Arial"/>
      <w:b/>
      <w:color w:val="212529"/>
      <w:sz w:val="24"/>
      <w:szCs w:val="24"/>
      <w:shd w:val="clear" w:color="auto" w:fill="FFFF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C20057"/>
    <w:rPr>
      <w:rFonts w:ascii="Arial" w:eastAsia="Times New Roman" w:hAnsi="Arial" w:cs="Arial"/>
      <w:b/>
      <w:color w:val="212529"/>
      <w:sz w:val="24"/>
      <w:szCs w:val="24"/>
      <w:lang w:eastAsia="pt-BR"/>
    </w:rPr>
  </w:style>
  <w:style w:type="paragraph" w:styleId="SemEspaamento">
    <w:name w:val="No Spacing"/>
    <w:uiPriority w:val="1"/>
    <w:qFormat/>
    <w:rsid w:val="00C20057"/>
    <w:pPr>
      <w:spacing w:after="0" w:line="240" w:lineRule="auto"/>
    </w:pPr>
    <w:rPr>
      <w:rFonts w:ascii="Calibri" w:eastAsia="Calibri" w:hAnsi="Calibri" w:cs="Times New Roman"/>
    </w:rPr>
  </w:style>
  <w:style w:type="paragraph" w:styleId="Ttulo">
    <w:name w:val="Title"/>
    <w:basedOn w:val="Normal"/>
    <w:next w:val="Normal"/>
    <w:link w:val="TtuloChar"/>
    <w:uiPriority w:val="10"/>
    <w:qFormat/>
    <w:rsid w:val="00C20057"/>
    <w:pPr>
      <w:spacing w:after="0" w:line="240" w:lineRule="auto"/>
      <w:contextualSpacing/>
    </w:pPr>
    <w:rPr>
      <w:rFonts w:ascii="Cambria" w:eastAsia="Times New Roman" w:hAnsi="Cambria"/>
      <w:spacing w:val="-10"/>
      <w:kern w:val="28"/>
      <w:sz w:val="56"/>
      <w:szCs w:val="56"/>
    </w:rPr>
  </w:style>
  <w:style w:type="character" w:customStyle="1" w:styleId="TtuloChar">
    <w:name w:val="Título Char"/>
    <w:basedOn w:val="Fontepargpadro"/>
    <w:link w:val="Ttulo"/>
    <w:uiPriority w:val="10"/>
    <w:rsid w:val="00C20057"/>
    <w:rPr>
      <w:rFonts w:ascii="Cambria" w:eastAsia="Times New Roman" w:hAnsi="Cambria" w:cs="Times New Roman"/>
      <w:spacing w:val="-10"/>
      <w:kern w:val="28"/>
      <w:sz w:val="56"/>
      <w:szCs w:val="56"/>
    </w:rPr>
  </w:style>
  <w:style w:type="table" w:styleId="Tabelacomgrade">
    <w:name w:val="Table Grid"/>
    <w:basedOn w:val="Tabelanormal"/>
    <w:uiPriority w:val="39"/>
    <w:rsid w:val="00C20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D69B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D69B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550</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5</cp:revision>
  <cp:lastPrinted>2022-02-18T12:48:00Z</cp:lastPrinted>
  <dcterms:created xsi:type="dcterms:W3CDTF">2022-02-18T12:14:00Z</dcterms:created>
  <dcterms:modified xsi:type="dcterms:W3CDTF">2022-02-21T19:06:00Z</dcterms:modified>
</cp:coreProperties>
</file>