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089" w:rsidRPr="00E35BAE" w:rsidRDefault="00067089" w:rsidP="00067089">
      <w:pPr>
        <w:ind w:left="2835"/>
        <w:jc w:val="both"/>
        <w:rPr>
          <w:b/>
          <w:bCs/>
          <w:color w:val="000000"/>
          <w:sz w:val="24"/>
          <w:szCs w:val="24"/>
          <w:lang w:val="pt-BR" w:eastAsia="pt-BR"/>
        </w:rPr>
      </w:pPr>
      <w:r w:rsidRPr="00E35BAE">
        <w:rPr>
          <w:b/>
          <w:bCs/>
          <w:color w:val="000000"/>
          <w:sz w:val="24"/>
          <w:szCs w:val="24"/>
          <w:lang w:eastAsia="pt-BR"/>
        </w:rPr>
        <w:t xml:space="preserve">PORTARIA Nº </w:t>
      </w:r>
      <w:r w:rsidR="002D5346">
        <w:rPr>
          <w:b/>
          <w:bCs/>
          <w:color w:val="000000"/>
          <w:sz w:val="24"/>
          <w:szCs w:val="24"/>
          <w:lang w:eastAsia="pt-BR"/>
        </w:rPr>
        <w:t>136</w:t>
      </w:r>
      <w:r w:rsidRPr="00E35BAE">
        <w:rPr>
          <w:b/>
          <w:bCs/>
          <w:color w:val="000000"/>
          <w:sz w:val="24"/>
          <w:szCs w:val="24"/>
          <w:lang w:eastAsia="pt-BR"/>
        </w:rPr>
        <w:t>/2021</w:t>
      </w:r>
    </w:p>
    <w:p w:rsidR="00067089" w:rsidRPr="00E35BAE" w:rsidRDefault="00067089" w:rsidP="00067089">
      <w:pPr>
        <w:ind w:left="2835"/>
        <w:jc w:val="both"/>
        <w:rPr>
          <w:b/>
          <w:bCs/>
          <w:color w:val="000000"/>
          <w:sz w:val="24"/>
          <w:szCs w:val="24"/>
          <w:lang w:eastAsia="pt-BR"/>
        </w:rPr>
      </w:pPr>
    </w:p>
    <w:p w:rsidR="00067089" w:rsidRPr="00E35BAE" w:rsidRDefault="00067089" w:rsidP="00067089">
      <w:pPr>
        <w:ind w:left="2835"/>
        <w:jc w:val="both"/>
        <w:rPr>
          <w:sz w:val="24"/>
          <w:szCs w:val="24"/>
          <w:lang w:eastAsia="pt-BR"/>
        </w:rPr>
      </w:pPr>
      <w:bookmarkStart w:id="0" w:name="_GoBack"/>
      <w:r w:rsidRPr="00E35BAE">
        <w:rPr>
          <w:b/>
          <w:bCs/>
          <w:color w:val="000000"/>
          <w:sz w:val="24"/>
          <w:szCs w:val="24"/>
          <w:lang w:eastAsia="pt-BR"/>
        </w:rPr>
        <w:t>CONCEDE PROGRESSÃO FUNCIONAL HORIZONTAL AOS SERVIDORES QUE MENCIONA, NOS TERMOS DO ARTIGO 22 DA RESOLUÇÃO Nº 1.194, DE 10 DE DEZEMBRO DE 2013</w:t>
      </w:r>
    </w:p>
    <w:bookmarkEnd w:id="0"/>
    <w:p w:rsidR="00067089" w:rsidRPr="00E35BAE" w:rsidRDefault="00067089" w:rsidP="00067089">
      <w:pPr>
        <w:ind w:firstLine="2835"/>
        <w:jc w:val="both"/>
        <w:rPr>
          <w:color w:val="000000"/>
          <w:sz w:val="24"/>
          <w:szCs w:val="24"/>
          <w:lang w:eastAsia="pt-BR"/>
        </w:rPr>
      </w:pPr>
    </w:p>
    <w:p w:rsidR="00067089" w:rsidRPr="00E35BAE" w:rsidRDefault="00067089" w:rsidP="00067089">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Bruno Dias, no uso de suas atribuições legais, e de conformidade com o inciso I, do art. 115 da Lei Orgânica Municipal, </w:t>
      </w:r>
    </w:p>
    <w:p w:rsidR="00067089" w:rsidRPr="00E35BAE" w:rsidRDefault="00067089" w:rsidP="00067089">
      <w:pPr>
        <w:rPr>
          <w:sz w:val="24"/>
          <w:szCs w:val="24"/>
          <w:lang w:eastAsia="pt-BR"/>
        </w:rPr>
      </w:pPr>
    </w:p>
    <w:p w:rsidR="00067089" w:rsidRPr="00E35BAE" w:rsidRDefault="00067089" w:rsidP="00067089">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Marcos Alves Pires </w:t>
      </w:r>
      <w:r w:rsidRPr="00E35BAE">
        <w:rPr>
          <w:color w:val="000000"/>
          <w:sz w:val="24"/>
          <w:szCs w:val="24"/>
          <w:lang w:eastAsia="pt-BR"/>
        </w:rPr>
        <w:t>cumpriu o interstício mínimo de 3 (três) anos de efetivo exercício no cargo em que se encontra;</w:t>
      </w:r>
    </w:p>
    <w:p w:rsidR="00067089" w:rsidRPr="00E35BAE" w:rsidRDefault="00067089" w:rsidP="00067089">
      <w:pPr>
        <w:rPr>
          <w:sz w:val="24"/>
          <w:szCs w:val="24"/>
          <w:lang w:eastAsia="pt-BR"/>
        </w:rPr>
      </w:pPr>
    </w:p>
    <w:p w:rsidR="00067089" w:rsidRPr="00E35BAE" w:rsidRDefault="00067089" w:rsidP="00067089">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w:t>
      </w:r>
      <w:r w:rsidRPr="00E35BAE">
        <w:rPr>
          <w:color w:val="000000"/>
          <w:sz w:val="24"/>
          <w:szCs w:val="24"/>
          <w:lang w:eastAsia="pt-BR"/>
        </w:rPr>
        <w:t xml:space="preserve"> servidor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067089" w:rsidRPr="00E35BAE" w:rsidRDefault="00067089" w:rsidP="00067089">
      <w:pPr>
        <w:rPr>
          <w:sz w:val="24"/>
          <w:szCs w:val="24"/>
          <w:lang w:eastAsia="pt-BR"/>
        </w:rPr>
      </w:pPr>
    </w:p>
    <w:p w:rsidR="00067089" w:rsidRPr="00E35BAE" w:rsidRDefault="00067089" w:rsidP="00067089">
      <w:pPr>
        <w:ind w:left="2835" w:right="1134"/>
        <w:jc w:val="both"/>
        <w:rPr>
          <w:sz w:val="24"/>
          <w:szCs w:val="24"/>
          <w:lang w:eastAsia="pt-BR"/>
        </w:rPr>
      </w:pPr>
      <w:r w:rsidRPr="00E35BAE">
        <w:rPr>
          <w:color w:val="000000"/>
          <w:sz w:val="24"/>
          <w:szCs w:val="24"/>
          <w:lang w:eastAsia="pt-BR"/>
        </w:rPr>
        <w:t>expede a seguinte</w:t>
      </w:r>
    </w:p>
    <w:p w:rsidR="00067089" w:rsidRPr="00E35BAE" w:rsidRDefault="00067089" w:rsidP="00067089">
      <w:pPr>
        <w:ind w:left="2835"/>
        <w:rPr>
          <w:b/>
          <w:bCs/>
          <w:color w:val="000000"/>
          <w:sz w:val="24"/>
          <w:szCs w:val="24"/>
          <w:lang w:eastAsia="pt-BR"/>
        </w:rPr>
      </w:pPr>
    </w:p>
    <w:p w:rsidR="00067089" w:rsidRPr="00E35BAE" w:rsidRDefault="00067089" w:rsidP="00067089">
      <w:pPr>
        <w:ind w:left="2835"/>
        <w:rPr>
          <w:sz w:val="24"/>
          <w:szCs w:val="24"/>
          <w:lang w:eastAsia="pt-BR"/>
        </w:rPr>
      </w:pPr>
      <w:r w:rsidRPr="00E35BAE">
        <w:rPr>
          <w:b/>
          <w:bCs/>
          <w:color w:val="000000"/>
          <w:sz w:val="24"/>
          <w:szCs w:val="24"/>
          <w:lang w:eastAsia="pt-BR"/>
        </w:rPr>
        <w:t>PORTARIA</w:t>
      </w:r>
    </w:p>
    <w:p w:rsidR="00067089" w:rsidRPr="00E35BAE" w:rsidRDefault="00067089" w:rsidP="00067089">
      <w:pPr>
        <w:ind w:firstLine="2835"/>
        <w:jc w:val="both"/>
        <w:rPr>
          <w:color w:val="000000"/>
          <w:sz w:val="24"/>
          <w:szCs w:val="24"/>
          <w:lang w:eastAsia="pt-BR"/>
        </w:rPr>
      </w:pPr>
    </w:p>
    <w:p w:rsidR="00067089" w:rsidRPr="00E35BAE" w:rsidRDefault="00067089" w:rsidP="00067089">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067089" w:rsidRPr="00E35BAE" w:rsidRDefault="00067089" w:rsidP="00067089">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067089" w:rsidRPr="00E35BAE" w:rsidTr="00E922E5">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67089" w:rsidRPr="00E35BAE" w:rsidRDefault="00067089" w:rsidP="00E922E5">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67089" w:rsidRPr="00E35BAE" w:rsidRDefault="00067089" w:rsidP="00E922E5">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067089" w:rsidRPr="00E35BAE" w:rsidRDefault="00067089" w:rsidP="00E922E5">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067089" w:rsidRPr="00E35BAE" w:rsidRDefault="00067089" w:rsidP="00E922E5">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067089" w:rsidRPr="00E35BAE" w:rsidRDefault="00067089" w:rsidP="00E922E5">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67089" w:rsidRPr="00E35BAE" w:rsidRDefault="00067089" w:rsidP="00E922E5">
            <w:pPr>
              <w:jc w:val="center"/>
              <w:rPr>
                <w:sz w:val="24"/>
                <w:szCs w:val="24"/>
                <w:lang w:eastAsia="pt-BR"/>
              </w:rPr>
            </w:pPr>
            <w:r w:rsidRPr="00E35BAE">
              <w:rPr>
                <w:b/>
                <w:bCs/>
                <w:color w:val="000000"/>
                <w:sz w:val="24"/>
                <w:szCs w:val="24"/>
                <w:lang w:eastAsia="pt-BR"/>
              </w:rPr>
              <w:t>A partir de</w:t>
            </w:r>
          </w:p>
        </w:tc>
      </w:tr>
      <w:tr w:rsidR="00067089" w:rsidRPr="00E35BAE" w:rsidTr="00E922E5">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67089" w:rsidRPr="00E35BAE" w:rsidRDefault="00067089" w:rsidP="00E922E5">
            <w:pPr>
              <w:rPr>
                <w:color w:val="000000"/>
                <w:sz w:val="24"/>
                <w:szCs w:val="24"/>
                <w:lang w:eastAsia="pt-BR"/>
              </w:rPr>
            </w:pPr>
            <w:r>
              <w:rPr>
                <w:color w:val="000000"/>
                <w:sz w:val="24"/>
                <w:szCs w:val="24"/>
                <w:lang w:eastAsia="pt-BR"/>
              </w:rPr>
              <w:t>Marcos Alves Pires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67089" w:rsidRPr="00E35BAE" w:rsidRDefault="00067089" w:rsidP="00E922E5">
            <w:pPr>
              <w:rPr>
                <w:color w:val="000000"/>
                <w:sz w:val="24"/>
                <w:szCs w:val="24"/>
                <w:lang w:eastAsia="pt-BR"/>
              </w:rPr>
            </w:pPr>
            <w:r>
              <w:rPr>
                <w:color w:val="000000"/>
                <w:sz w:val="24"/>
                <w:szCs w:val="24"/>
                <w:lang w:eastAsia="pt-BR"/>
              </w:rPr>
              <w:t>Motorista</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67089" w:rsidRPr="00E35BAE" w:rsidRDefault="00067089" w:rsidP="00E922E5">
            <w:pPr>
              <w:jc w:val="center"/>
              <w:rPr>
                <w:color w:val="000000"/>
                <w:sz w:val="24"/>
                <w:szCs w:val="24"/>
                <w:lang w:eastAsia="pt-BR"/>
              </w:rPr>
            </w:pPr>
            <w:r>
              <w:rPr>
                <w:color w:val="000000"/>
                <w:sz w:val="24"/>
                <w:szCs w:val="24"/>
                <w:lang w:eastAsia="pt-BR"/>
              </w:rPr>
              <w:t>III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67089" w:rsidRPr="00E35BAE" w:rsidRDefault="00067089" w:rsidP="00E922E5">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67089" w:rsidRPr="00E35BAE" w:rsidRDefault="00067089" w:rsidP="00E922E5">
            <w:pPr>
              <w:jc w:val="center"/>
              <w:rPr>
                <w:color w:val="000000"/>
                <w:sz w:val="24"/>
                <w:szCs w:val="24"/>
                <w:lang w:eastAsia="pt-BR"/>
              </w:rPr>
            </w:pPr>
            <w:r>
              <w:rPr>
                <w:color w:val="000000"/>
                <w:sz w:val="24"/>
                <w:szCs w:val="24"/>
                <w:lang w:eastAsia="pt-BR"/>
              </w:rPr>
              <w:t>J</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7089" w:rsidRPr="00FA6AC8" w:rsidRDefault="00067089" w:rsidP="00E922E5">
            <w:pPr>
              <w:jc w:val="center"/>
              <w:rPr>
                <w:b/>
                <w:color w:val="000000"/>
                <w:sz w:val="24"/>
                <w:szCs w:val="24"/>
                <w:lang w:eastAsia="pt-BR"/>
              </w:rPr>
            </w:pPr>
            <w:r>
              <w:rPr>
                <w:b/>
                <w:color w:val="000000"/>
                <w:sz w:val="24"/>
                <w:szCs w:val="24"/>
                <w:lang w:eastAsia="pt-BR"/>
              </w:rPr>
              <w:t>16/12/2021</w:t>
            </w:r>
          </w:p>
        </w:tc>
      </w:tr>
    </w:tbl>
    <w:p w:rsidR="00067089" w:rsidRPr="00E35BAE" w:rsidRDefault="00067089" w:rsidP="00067089">
      <w:pPr>
        <w:rPr>
          <w:sz w:val="24"/>
          <w:szCs w:val="24"/>
          <w:lang w:eastAsia="pt-BR"/>
        </w:rPr>
      </w:pPr>
    </w:p>
    <w:p w:rsidR="00067089" w:rsidRPr="00E35BAE" w:rsidRDefault="00067089" w:rsidP="00067089">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067089" w:rsidRPr="00E35BAE" w:rsidRDefault="00067089" w:rsidP="00067089">
      <w:pPr>
        <w:rPr>
          <w:sz w:val="24"/>
          <w:szCs w:val="24"/>
          <w:lang w:eastAsia="pt-BR"/>
        </w:rPr>
      </w:pPr>
    </w:p>
    <w:p w:rsidR="00067089" w:rsidRPr="00E35BAE" w:rsidRDefault="00067089" w:rsidP="00067089">
      <w:pPr>
        <w:ind w:firstLine="2835"/>
        <w:jc w:val="both"/>
        <w:rPr>
          <w:sz w:val="24"/>
          <w:szCs w:val="24"/>
          <w:lang w:eastAsia="pt-BR"/>
        </w:rPr>
      </w:pPr>
      <w:r w:rsidRPr="00E35BAE">
        <w:rPr>
          <w:b/>
          <w:bCs/>
          <w:color w:val="000000"/>
          <w:sz w:val="24"/>
          <w:szCs w:val="24"/>
          <w:lang w:eastAsia="pt-BR"/>
        </w:rPr>
        <w:t>REGISTRE-SE E PUBLIQUE-SE</w:t>
      </w:r>
    </w:p>
    <w:p w:rsidR="00067089" w:rsidRPr="00E35BAE" w:rsidRDefault="00067089" w:rsidP="00067089">
      <w:pPr>
        <w:rPr>
          <w:sz w:val="24"/>
          <w:szCs w:val="24"/>
          <w:lang w:eastAsia="pt-BR"/>
        </w:rPr>
      </w:pPr>
    </w:p>
    <w:p w:rsidR="00067089" w:rsidRPr="00E35BAE" w:rsidRDefault="00067089" w:rsidP="00067089">
      <w:pPr>
        <w:jc w:val="center"/>
        <w:rPr>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16 DE DEZEMBRO DE</w:t>
      </w:r>
      <w:r w:rsidRPr="00E35BAE">
        <w:rPr>
          <w:color w:val="000000"/>
          <w:sz w:val="24"/>
          <w:szCs w:val="24"/>
          <w:lang w:eastAsia="pt-BR"/>
        </w:rPr>
        <w:t xml:space="preserve"> 2021.</w:t>
      </w:r>
    </w:p>
    <w:p w:rsidR="00067089" w:rsidRPr="00E35BAE" w:rsidRDefault="00067089" w:rsidP="00067089">
      <w:pP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2714"/>
      </w:tblGrid>
      <w:tr w:rsidR="00067089" w:rsidRPr="00E35BAE" w:rsidTr="00E922E5">
        <w:trPr>
          <w:jc w:val="center"/>
        </w:trPr>
        <w:tc>
          <w:tcPr>
            <w:tcW w:w="0" w:type="auto"/>
            <w:tcMar>
              <w:top w:w="0" w:type="dxa"/>
              <w:left w:w="70" w:type="dxa"/>
              <w:bottom w:w="0" w:type="dxa"/>
              <w:right w:w="70" w:type="dxa"/>
            </w:tcMar>
            <w:hideMark/>
          </w:tcPr>
          <w:p w:rsidR="00067089" w:rsidRPr="00E35BAE" w:rsidRDefault="00067089" w:rsidP="00E922E5">
            <w:pPr>
              <w:jc w:val="center"/>
              <w:rPr>
                <w:sz w:val="24"/>
                <w:szCs w:val="24"/>
                <w:lang w:eastAsia="pt-BR"/>
              </w:rPr>
            </w:pPr>
            <w:r w:rsidRPr="00E35BAE">
              <w:rPr>
                <w:color w:val="000000"/>
                <w:sz w:val="24"/>
                <w:szCs w:val="24"/>
                <w:lang w:eastAsia="pt-BR"/>
              </w:rPr>
              <w:t>BRUNO DIAS</w:t>
            </w:r>
          </w:p>
        </w:tc>
      </w:tr>
      <w:tr w:rsidR="00067089" w:rsidRPr="00E35BAE" w:rsidTr="00E922E5">
        <w:trPr>
          <w:jc w:val="center"/>
        </w:trPr>
        <w:tc>
          <w:tcPr>
            <w:tcW w:w="0" w:type="auto"/>
            <w:tcMar>
              <w:top w:w="0" w:type="dxa"/>
              <w:left w:w="70" w:type="dxa"/>
              <w:bottom w:w="0" w:type="dxa"/>
              <w:right w:w="70" w:type="dxa"/>
            </w:tcMar>
            <w:hideMark/>
          </w:tcPr>
          <w:p w:rsidR="00067089" w:rsidRPr="00E35BAE" w:rsidRDefault="00067089" w:rsidP="00E922E5">
            <w:pPr>
              <w:jc w:val="center"/>
              <w:rPr>
                <w:sz w:val="24"/>
                <w:szCs w:val="24"/>
                <w:lang w:eastAsia="pt-BR"/>
              </w:rPr>
            </w:pPr>
            <w:r w:rsidRPr="00E35BAE">
              <w:rPr>
                <w:color w:val="000000"/>
                <w:sz w:val="24"/>
                <w:szCs w:val="24"/>
                <w:lang w:eastAsia="pt-BR"/>
              </w:rPr>
              <w:t>PRESIDENTE DA MESA</w:t>
            </w:r>
          </w:p>
        </w:tc>
      </w:tr>
    </w:tbl>
    <w:p w:rsidR="00067089" w:rsidRDefault="00067089" w:rsidP="00067089">
      <w:pPr>
        <w:ind w:left="2835"/>
        <w:jc w:val="both"/>
        <w:rPr>
          <w:b/>
          <w:bCs/>
          <w:color w:val="000000"/>
          <w:sz w:val="24"/>
          <w:szCs w:val="24"/>
          <w:lang w:eastAsia="pt-BR"/>
        </w:rPr>
      </w:pPr>
    </w:p>
    <w:sectPr w:rsidR="00067089"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DFE" w:rsidRDefault="00196DFE">
      <w:r>
        <w:separator/>
      </w:r>
    </w:p>
  </w:endnote>
  <w:endnote w:type="continuationSeparator" w:id="0">
    <w:p w:rsidR="00196DFE" w:rsidRDefault="0019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DFE" w:rsidRDefault="00196DFE">
      <w:r>
        <w:separator/>
      </w:r>
    </w:p>
  </w:footnote>
  <w:footnote w:type="continuationSeparator" w:id="0">
    <w:p w:rsidR="00196DFE" w:rsidRDefault="00196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067089">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64FD6BA3" wp14:editId="69174034">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067089"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067089"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067089"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067089"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196DFE"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D6BA3"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067089"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067089"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067089"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067089"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067089" w:rsidP="00EA1349">
                    <w:pPr>
                      <w:pStyle w:val="Ttulo2"/>
                      <w:rPr>
                        <w:color w:val="0D0D0D"/>
                      </w:rPr>
                    </w:pPr>
                  </w:p>
                </w:txbxContent>
              </v:textbox>
            </v:shape>
          </w:pict>
        </mc:Fallback>
      </mc:AlternateContent>
    </w:r>
    <w:r w:rsidR="00196DFE">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01157308"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89"/>
    <w:rsid w:val="00067089"/>
    <w:rsid w:val="00196DFE"/>
    <w:rsid w:val="002D5346"/>
    <w:rsid w:val="007C1A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A48AE4-07AB-40A1-93B8-AD806AB2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8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067089"/>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067089"/>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7089"/>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067089"/>
    <w:rPr>
      <w:rFonts w:ascii="Tahoma" w:eastAsia="Times New Roman" w:hAnsi="Tahoma" w:cs="Times New Roman"/>
      <w:b/>
      <w:color w:val="0000FF"/>
      <w:sz w:val="28"/>
      <w:szCs w:val="20"/>
      <w:lang w:eastAsia="pt-BR"/>
    </w:rPr>
  </w:style>
  <w:style w:type="character" w:styleId="Hyperlink">
    <w:name w:val="Hyperlink"/>
    <w:rsid w:val="00067089"/>
    <w:rPr>
      <w:color w:val="0000FF"/>
      <w:u w:val="single"/>
    </w:rPr>
  </w:style>
  <w:style w:type="paragraph" w:styleId="Cabealho">
    <w:name w:val="header"/>
    <w:basedOn w:val="Normal"/>
    <w:link w:val="CabealhoChar"/>
    <w:uiPriority w:val="99"/>
    <w:unhideWhenUsed/>
    <w:rsid w:val="002D5346"/>
    <w:pPr>
      <w:tabs>
        <w:tab w:val="center" w:pos="4252"/>
        <w:tab w:val="right" w:pos="8504"/>
      </w:tabs>
    </w:pPr>
  </w:style>
  <w:style w:type="character" w:customStyle="1" w:styleId="CabealhoChar">
    <w:name w:val="Cabeçalho Char"/>
    <w:basedOn w:val="Fontepargpadro"/>
    <w:link w:val="Cabealho"/>
    <w:uiPriority w:val="99"/>
    <w:rsid w:val="002D5346"/>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2D5346"/>
    <w:pPr>
      <w:tabs>
        <w:tab w:val="center" w:pos="4252"/>
        <w:tab w:val="right" w:pos="8504"/>
      </w:tabs>
    </w:pPr>
  </w:style>
  <w:style w:type="character" w:customStyle="1" w:styleId="RodapChar">
    <w:name w:val="Rodapé Char"/>
    <w:basedOn w:val="Fontepargpadro"/>
    <w:link w:val="Rodap"/>
    <w:uiPriority w:val="99"/>
    <w:rsid w:val="002D5346"/>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2D5346"/>
    <w:rPr>
      <w:rFonts w:ascii="Segoe UI" w:hAnsi="Segoe UI" w:cs="Segoe UI"/>
      <w:sz w:val="18"/>
      <w:szCs w:val="18"/>
    </w:rPr>
  </w:style>
  <w:style w:type="character" w:customStyle="1" w:styleId="TextodebaloChar">
    <w:name w:val="Texto de balão Char"/>
    <w:basedOn w:val="Fontepargpadro"/>
    <w:link w:val="Textodebalo"/>
    <w:uiPriority w:val="99"/>
    <w:semiHidden/>
    <w:rsid w:val="002D534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3</cp:revision>
  <cp:lastPrinted>2021-12-16T13:54:00Z</cp:lastPrinted>
  <dcterms:created xsi:type="dcterms:W3CDTF">2021-11-30T16:27:00Z</dcterms:created>
  <dcterms:modified xsi:type="dcterms:W3CDTF">2021-12-16T13:55:00Z</dcterms:modified>
</cp:coreProperties>
</file>